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78A" w:rsidRDefault="001057F2">
      <w:pPr>
        <w:pStyle w:val="Stylepapertitle14pt"/>
        <w:spacing w:line="276" w:lineRule="auto"/>
        <w:rPr>
          <w:rFonts w:ascii="Garamond" w:hAnsi="Garamond"/>
          <w:b/>
          <w:sz w:val="28"/>
          <w:szCs w:val="28"/>
        </w:rPr>
      </w:pPr>
      <w:r>
        <w:rPr>
          <w:rFonts w:ascii="Garamond" w:hAnsi="Garamond"/>
          <w:b/>
          <w:i/>
          <w:iCs/>
          <w:sz w:val="28"/>
          <w:szCs w:val="28"/>
        </w:rPr>
        <w:t>BARAMBANGAN</w:t>
      </w:r>
      <w:r>
        <w:rPr>
          <w:rFonts w:ascii="Garamond" w:hAnsi="Garamond"/>
          <w:b/>
          <w:sz w:val="28"/>
          <w:szCs w:val="28"/>
        </w:rPr>
        <w:t xml:space="preserve"> S</w:t>
      </w:r>
      <w:r>
        <w:rPr>
          <w:rFonts w:hAnsi="Garamond"/>
          <w:b/>
          <w:sz w:val="28"/>
          <w:szCs w:val="28"/>
        </w:rPr>
        <w:t>EBAGAI</w:t>
      </w:r>
      <w:r>
        <w:rPr>
          <w:rFonts w:ascii="Garamond" w:hAnsi="Garamond"/>
          <w:b/>
          <w:sz w:val="28"/>
          <w:szCs w:val="28"/>
        </w:rPr>
        <w:t xml:space="preserve"> PENCEGAHAN</w:t>
      </w:r>
      <w:r>
        <w:rPr>
          <w:rFonts w:hAnsi="Garamond"/>
          <w:b/>
          <w:sz w:val="28"/>
          <w:szCs w:val="28"/>
        </w:rPr>
        <w:t xml:space="preserve"> </w:t>
      </w:r>
      <w:r>
        <w:rPr>
          <w:rFonts w:ascii="Garamond" w:hAnsi="Garamond"/>
          <w:b/>
          <w:sz w:val="28"/>
          <w:szCs w:val="28"/>
        </w:rPr>
        <w:t>KEKERASAN TERHADAP PEREMPUAN PESPEKTIF HAM</w:t>
      </w:r>
    </w:p>
    <w:p w:rsidR="0053678A" w:rsidRDefault="001057F2">
      <w:pPr>
        <w:pStyle w:val="StyleAuthorBold"/>
        <w:rPr>
          <w:rFonts w:ascii="Garamond" w:hAnsi="Garamond"/>
          <w:lang w:val="id-ID"/>
        </w:rPr>
      </w:pPr>
      <w:r>
        <w:rPr>
          <w:rFonts w:hAnsi="Garamond"/>
        </w:rPr>
        <w:t>Rian Chandra</w:t>
      </w:r>
      <w:r>
        <w:rPr>
          <w:rFonts w:ascii="Garamond" w:hAnsi="Garamond"/>
          <w:lang w:val="id-ID"/>
        </w:rPr>
        <w:t xml:space="preserve"> </w:t>
      </w:r>
    </w:p>
    <w:p w:rsidR="0053678A" w:rsidRDefault="001057F2">
      <w:pPr>
        <w:pStyle w:val="Afiliasi"/>
        <w:rPr>
          <w:rFonts w:ascii="Garamond" w:hAnsi="Garamond"/>
          <w:lang w:val="en-US"/>
        </w:rPr>
      </w:pPr>
      <w:r>
        <w:rPr>
          <w:rFonts w:ascii="Garamond" w:hAnsi="Garamond"/>
          <w:lang w:val="en-US"/>
        </w:rPr>
        <w:t>S2 Hukum Keluarga</w:t>
      </w:r>
      <w:r>
        <w:rPr>
          <w:rFonts w:ascii="Garamond" w:hAnsi="Garamond"/>
        </w:rPr>
        <w:t xml:space="preserve"> Universitas</w:t>
      </w:r>
      <w:r>
        <w:rPr>
          <w:rFonts w:ascii="Garamond" w:hAnsi="Garamond"/>
          <w:lang w:val="en-US"/>
        </w:rPr>
        <w:t xml:space="preserve"> Islam Negeri Antasari</w:t>
      </w:r>
      <w:r>
        <w:rPr>
          <w:rFonts w:ascii="Garamond" w:hAnsi="Garamond"/>
          <w:lang w:val="en-US"/>
        </w:rPr>
        <w:br/>
      </w:r>
      <w:r>
        <w:rPr>
          <w:rFonts w:ascii="Garamond" w:hAnsi="Garamond" w:cs="Segoe UI"/>
          <w:color w:val="14171A"/>
          <w:shd w:val="clear" w:color="auto" w:fill="FFFFFF"/>
        </w:rPr>
        <w:t>Jl. Jend. A. Yani Km. 4,5 Banjarmasin</w:t>
      </w:r>
      <w:r>
        <w:rPr>
          <w:rFonts w:ascii="Garamond" w:hAnsi="Garamond" w:cs="Segoe UI"/>
          <w:color w:val="14171A"/>
          <w:shd w:val="clear" w:color="auto" w:fill="FFFFFF"/>
        </w:rPr>
        <w:br/>
      </w:r>
      <w:r>
        <w:rPr>
          <w:rFonts w:ascii="Garamond" w:hAnsi="Garamond"/>
          <w:b/>
          <w:bCs/>
        </w:rPr>
        <w:t>e-mail</w:t>
      </w:r>
      <w:r>
        <w:rPr>
          <w:rFonts w:ascii="Garamond" w:hAnsi="Garamond"/>
          <w:b/>
          <w:bCs/>
          <w:lang w:val="en-US"/>
        </w:rPr>
        <w:t>:</w:t>
      </w:r>
      <w:r>
        <w:rPr>
          <w:rFonts w:ascii="Garamond" w:hAnsi="Garamond"/>
        </w:rPr>
        <w:t xml:space="preserve"> </w:t>
      </w:r>
      <w:hyperlink r:id="rId8" w:history="1">
        <w:r>
          <w:rPr>
            <w:rStyle w:val="Hyperlink"/>
            <w:rFonts w:ascii="Garamond" w:hAnsi="Garamond"/>
            <w:lang w:val="en-US"/>
          </w:rPr>
          <w:t>a</w:t>
        </w:r>
        <w:r>
          <w:rPr>
            <w:rStyle w:val="Hyperlink"/>
            <w:rFonts w:hAnsi="Garamond"/>
            <w:lang w:val="en-US"/>
          </w:rPr>
          <w:t>arianchandra</w:t>
        </w:r>
        <w:r>
          <w:rPr>
            <w:rStyle w:val="Hyperlink"/>
            <w:rFonts w:ascii="Garamond" w:hAnsi="Garamond"/>
            <w:lang w:val="en-US"/>
          </w:rPr>
          <w:t>@gmail.com</w:t>
        </w:r>
      </w:hyperlink>
    </w:p>
    <w:p w:rsidR="0053678A" w:rsidRDefault="0053678A">
      <w:pPr>
        <w:pStyle w:val="Afiliasi"/>
        <w:rPr>
          <w:rFonts w:ascii="Garamond" w:hAnsi="Garamond"/>
        </w:rPr>
      </w:pPr>
    </w:p>
    <w:p w:rsidR="0053678A" w:rsidRDefault="0053678A">
      <w:pPr>
        <w:pStyle w:val="Afiliasi"/>
        <w:rPr>
          <w:rFonts w:ascii="Garamond" w:hAnsi="Garamond"/>
        </w:rPr>
      </w:pPr>
    </w:p>
    <w:p w:rsidR="0053678A" w:rsidRDefault="001057F2">
      <w:pPr>
        <w:pStyle w:val="abstrak"/>
        <w:rPr>
          <w:rFonts w:ascii="Garamond" w:hAnsi="Garamond"/>
          <w:sz w:val="24"/>
          <w:lang w:val="id-ID"/>
        </w:rPr>
      </w:pPr>
      <w:r>
        <w:rPr>
          <w:rFonts w:ascii="Garamond" w:hAnsi="Garamond"/>
          <w:b/>
          <w:bCs/>
          <w:sz w:val="24"/>
          <w:lang w:val="id-ID"/>
        </w:rPr>
        <w:t>Abstrak:</w:t>
      </w:r>
      <w:r>
        <w:rPr>
          <w:rFonts w:ascii="Garamond" w:hAnsi="Garamond"/>
          <w:sz w:val="24"/>
          <w:lang w:val="id-ID"/>
        </w:rPr>
        <w:t xml:space="preserve"> </w:t>
      </w:r>
      <w:r>
        <w:rPr>
          <w:rFonts w:ascii="Garamond" w:hAnsi="Garamond"/>
          <w:sz w:val="24"/>
        </w:rPr>
        <w:t xml:space="preserve">Penelitian ini membahas tradisi Barambangan sebagai pencegahan tindak kekerasan terhadap perempuan </w:t>
      </w:r>
      <w:r>
        <w:rPr>
          <w:rFonts w:ascii="Garamond" w:hAnsi="Garamond"/>
          <w:sz w:val="24"/>
          <w:lang w:val="id-ID"/>
        </w:rPr>
        <w:t>dengan perspektif HAM</w:t>
      </w:r>
      <w:r>
        <w:rPr>
          <w:rFonts w:ascii="Garamond" w:hAnsi="Garamond"/>
          <w:sz w:val="24"/>
        </w:rPr>
        <w:t xml:space="preserve">. Barambangan merupakan sebuah tradisi di dalam masyarakat Banjar yang muncul sejak kepemimpinan Sultan Adam </w:t>
      </w:r>
      <w:r>
        <w:rPr>
          <w:rFonts w:ascii="Garamond" w:hAnsi="Garamond"/>
          <w:sz w:val="24"/>
        </w:rPr>
        <w:t>sebagai Raja Kesultanan Banjar. Tradisi ini merupakan suatu keadaan antara suami istri yang telah mengalami kerenggangan hubungan rumah tangga, sehingga mereka memerlukan waktu jeda untuk menentukan pilihan tetap bersatu atau bercerai.</w:t>
      </w:r>
      <w:r>
        <w:rPr>
          <w:rFonts w:ascii="Garamond" w:hAnsi="Garamond"/>
          <w:sz w:val="24"/>
          <w:lang w:val="id-ID"/>
        </w:rPr>
        <w:t xml:space="preserve"> Metode</w:t>
      </w:r>
      <w:r>
        <w:rPr>
          <w:rFonts w:ascii="Garamond" w:hAnsi="Garamond"/>
          <w:sz w:val="24"/>
        </w:rPr>
        <w:t xml:space="preserve"> penelitian</w:t>
      </w:r>
      <w:r>
        <w:rPr>
          <w:rFonts w:ascii="Garamond" w:hAnsi="Garamond"/>
          <w:sz w:val="24"/>
          <w:lang w:val="id-ID"/>
        </w:rPr>
        <w:t xml:space="preserve"> ya</w:t>
      </w:r>
      <w:r>
        <w:rPr>
          <w:rFonts w:ascii="Garamond" w:hAnsi="Garamond"/>
          <w:sz w:val="24"/>
          <w:lang w:val="id-ID"/>
        </w:rPr>
        <w:t>ng digunakan adalah penelitian hukum normatif, dengan mengumpulkan bahan hukum sekunder. Hasil penelitian ini menemukan bahwa Tradisi Barambangan sebagai pencegahan tindak kekerasan terhadap perempuan mengadopsi system hukum Islam dan hukum Adat. Selanjutn</w:t>
      </w:r>
      <w:r>
        <w:rPr>
          <w:rFonts w:ascii="Garamond" w:hAnsi="Garamond"/>
          <w:sz w:val="24"/>
          <w:lang w:val="id-ID"/>
        </w:rPr>
        <w:t>ya, Tradisi Barambangan ini muncul sebagai perlindungan hukum seorang perempuan dari paksaan serta kekerasan ketika terjadi konflik. Hal ini dibuktikan dengan hasil analisa menggunakan teori perlindungan hukum. Selain itu, Tradisi Barambangan ini juga meng</w:t>
      </w:r>
      <w:r>
        <w:rPr>
          <w:rFonts w:ascii="Garamond" w:hAnsi="Garamond"/>
          <w:sz w:val="24"/>
          <w:lang w:val="id-ID"/>
        </w:rPr>
        <w:t>andung tata cara penyelesaian konflik antara suami istri yang Barambangan.</w:t>
      </w:r>
      <w:r>
        <w:rPr>
          <w:rFonts w:ascii="Garamond" w:hAnsi="Garamond"/>
          <w:sz w:val="24"/>
        </w:rPr>
        <w:t xml:space="preserve"> </w:t>
      </w:r>
      <w:r>
        <w:rPr>
          <w:rFonts w:ascii="Garamond" w:hAnsi="Garamond"/>
          <w:sz w:val="24"/>
          <w:lang w:val="id-ID"/>
        </w:rPr>
        <w:t>Dalam perspektif HAM, Tradisi Barambangan sebagai pencegahan tindak kekerasan terhadap perempuan telah memenuhi amanat HAM untuk mencegah tindak kekerasan terhadap perempuan. Akan t</w:t>
      </w:r>
      <w:r>
        <w:rPr>
          <w:rFonts w:ascii="Garamond" w:hAnsi="Garamond"/>
          <w:sz w:val="24"/>
          <w:lang w:val="id-ID"/>
        </w:rPr>
        <w:t>etapi, masih terdapat unsur diskriminatif dalam tradisi ini. Hal itu karena dictum perkara 18 UUSA hanya menekankan perempuan sebagai pihak yang tidak mau berdamai.</w:t>
      </w:r>
    </w:p>
    <w:p w:rsidR="0053678A" w:rsidRDefault="001057F2">
      <w:pPr>
        <w:pStyle w:val="abstrak"/>
        <w:rPr>
          <w:rFonts w:ascii="Garamond" w:hAnsi="Garamond"/>
          <w:sz w:val="24"/>
          <w:lang w:val="id-ID"/>
        </w:rPr>
      </w:pPr>
      <w:r>
        <w:rPr>
          <w:rFonts w:ascii="Garamond" w:hAnsi="Garamond"/>
          <w:b/>
          <w:sz w:val="24"/>
          <w:lang w:val="id-ID"/>
        </w:rPr>
        <w:t xml:space="preserve">Kata Kunci: </w:t>
      </w:r>
      <w:r>
        <w:rPr>
          <w:rFonts w:ascii="Garamond" w:hAnsi="Garamond"/>
          <w:sz w:val="24"/>
        </w:rPr>
        <w:t>Kekerasan Terhadap Perempuan, Barambangan, Tradisi, HAM</w:t>
      </w:r>
    </w:p>
    <w:p w:rsidR="0053678A" w:rsidRDefault="001057F2">
      <w:pPr>
        <w:pStyle w:val="abstrak"/>
        <w:rPr>
          <w:rFonts w:ascii="Garamond" w:hAnsi="Garamond"/>
          <w:sz w:val="24"/>
          <w:lang w:val="id-ID"/>
        </w:rPr>
      </w:pPr>
      <w:r>
        <w:rPr>
          <w:rFonts w:ascii="Garamond" w:hAnsi="Garamond"/>
          <w:sz w:val="24"/>
        </w:rPr>
        <w:tab/>
      </w:r>
    </w:p>
    <w:p w:rsidR="0053678A" w:rsidRDefault="001057F2">
      <w:pPr>
        <w:pStyle w:val="abstrak"/>
        <w:rPr>
          <w:rFonts w:ascii="Garamond" w:hAnsi="Garamond"/>
          <w:sz w:val="24"/>
        </w:rPr>
      </w:pPr>
      <w:r>
        <w:rPr>
          <w:rFonts w:ascii="Garamond" w:hAnsi="Garamond"/>
          <w:b/>
          <w:bCs/>
          <w:sz w:val="24"/>
        </w:rPr>
        <w:t>Abstract:</w:t>
      </w:r>
      <w:r>
        <w:rPr>
          <w:rFonts w:ascii="Garamond" w:hAnsi="Garamond"/>
          <w:sz w:val="24"/>
        </w:rPr>
        <w:t xml:space="preserve"> This study </w:t>
      </w:r>
      <w:r>
        <w:rPr>
          <w:rFonts w:ascii="Garamond" w:hAnsi="Garamond"/>
          <w:sz w:val="24"/>
        </w:rPr>
        <w:t>discusses Barambangan tradition as prevention to violence against women with human rights perspective. Barambangan is a tradition in the Banjar community that emerged since the leadership of Sultan Adam as the King of the Banjar Sultanate. This tradition i</w:t>
      </w:r>
      <w:r>
        <w:rPr>
          <w:rFonts w:ascii="Garamond" w:hAnsi="Garamond"/>
          <w:sz w:val="24"/>
        </w:rPr>
        <w:t xml:space="preserve">s a situation between marriage mates who have been estranged with their marital relations, so they need time off to decide whether to stay together or divorce. The research method used is normative legal research, by collect secondary legal material. This </w:t>
      </w:r>
      <w:r>
        <w:rPr>
          <w:rFonts w:ascii="Garamond" w:hAnsi="Garamond"/>
          <w:sz w:val="24"/>
        </w:rPr>
        <w:t>study found that Barambangan tradition as prevention of violence against women adopted the Islamic legal system and customary law. This tradition emerged as a woman's legal protection from coercion and violence when a conflict occurs. This is proved by ana</w:t>
      </w:r>
      <w:r>
        <w:rPr>
          <w:rFonts w:ascii="Garamond" w:hAnsi="Garamond"/>
          <w:sz w:val="24"/>
        </w:rPr>
        <w:t>lysis used the legal protection theory. In addition, the Barambangan tradition also contains the dispute resolution procedure between husband and wife. From a human rights perspective, the Barambangan tradition as prevention of violence against women has f</w:t>
      </w:r>
      <w:r>
        <w:rPr>
          <w:rFonts w:ascii="Garamond" w:hAnsi="Garamond"/>
          <w:sz w:val="24"/>
        </w:rPr>
        <w:t>ulfilled the human rights mandate to prevent violence against women. However, this tradition still has an element of discrimination. This is because the dictum case 18 UUSA only emphasizes women as parties who do not want to make peace.</w:t>
      </w:r>
    </w:p>
    <w:p w:rsidR="0053678A" w:rsidRDefault="001057F2">
      <w:pPr>
        <w:pStyle w:val="abstrak"/>
        <w:rPr>
          <w:rFonts w:ascii="Garamond" w:hAnsi="Garamond"/>
          <w:sz w:val="24"/>
        </w:rPr>
      </w:pPr>
      <w:r>
        <w:rPr>
          <w:rFonts w:ascii="Garamond" w:hAnsi="Garamond"/>
          <w:b/>
          <w:sz w:val="24"/>
        </w:rPr>
        <w:t>Keywords:</w:t>
      </w:r>
      <w:r>
        <w:rPr>
          <w:rFonts w:ascii="Garamond" w:hAnsi="Garamond"/>
          <w:sz w:val="24"/>
        </w:rPr>
        <w:t xml:space="preserve"> Violence </w:t>
      </w:r>
      <w:r>
        <w:rPr>
          <w:rFonts w:ascii="Garamond" w:hAnsi="Garamond"/>
          <w:sz w:val="24"/>
        </w:rPr>
        <w:t>Against Women, Barambangan, Tradition, Human Rights</w:t>
      </w:r>
    </w:p>
    <w:p w:rsidR="0053678A" w:rsidRDefault="0053678A">
      <w:pPr>
        <w:pStyle w:val="Affiliation"/>
        <w:jc w:val="both"/>
        <w:rPr>
          <w:rFonts w:ascii="Garamond" w:hAnsi="Garamond"/>
          <w:lang w:val="id-ID"/>
        </w:rPr>
      </w:pPr>
    </w:p>
    <w:p w:rsidR="0053678A" w:rsidRDefault="0053678A">
      <w:pPr>
        <w:jc w:val="left"/>
        <w:rPr>
          <w:rFonts w:ascii="Garamond" w:hAnsi="Garamond"/>
          <w:lang w:val="id-ID"/>
        </w:rPr>
        <w:sectPr w:rsidR="0053678A" w:rsidSect="0000580D">
          <w:footerReference w:type="default" r:id="rId9"/>
          <w:type w:val="continuous"/>
          <w:pgSz w:w="11906" w:h="16838"/>
          <w:pgMar w:top="1440" w:right="1800" w:bottom="1440" w:left="1800" w:header="708" w:footer="708" w:gutter="0"/>
          <w:pgNumType w:start="38"/>
          <w:cols w:space="282"/>
          <w:docGrid w:linePitch="360"/>
        </w:sectPr>
      </w:pPr>
    </w:p>
    <w:p w:rsidR="0053678A" w:rsidRDefault="001057F2">
      <w:pPr>
        <w:tabs>
          <w:tab w:val="left" w:pos="3315"/>
          <w:tab w:val="center" w:pos="4820"/>
        </w:tabs>
        <w:spacing w:before="240" w:after="40"/>
        <w:jc w:val="left"/>
        <w:rPr>
          <w:rFonts w:ascii="Garamond" w:hAnsi="Garamond"/>
          <w:b/>
        </w:rPr>
      </w:pPr>
      <w:r>
        <w:rPr>
          <w:rFonts w:ascii="Garamond" w:hAnsi="Garamond"/>
          <w:b/>
          <w:sz w:val="28"/>
          <w:szCs w:val="28"/>
          <w:lang w:val="id-ID"/>
        </w:rPr>
        <w:lastRenderedPageBreak/>
        <w:t>PENDAHULUAN</w:t>
      </w:r>
    </w:p>
    <w:p w:rsidR="0053678A" w:rsidRDefault="001057F2">
      <w:pPr>
        <w:pStyle w:val="BodyText"/>
        <w:ind w:firstLine="567"/>
        <w:rPr>
          <w:rFonts w:ascii="Garamond" w:hAnsi="Garamond"/>
          <w:sz w:val="24"/>
          <w:szCs w:val="24"/>
        </w:rPr>
      </w:pPr>
      <w:r>
        <w:rPr>
          <w:rFonts w:ascii="Garamond" w:hAnsi="Garamond"/>
          <w:sz w:val="24"/>
          <w:szCs w:val="24"/>
        </w:rPr>
        <w:t>Kekerasan terhadap perempuan telah menjadi krisis global yang melanda se</w:t>
      </w:r>
      <w:r>
        <w:rPr>
          <w:rFonts w:ascii="Garamond" w:hAnsi="Garamond"/>
          <w:sz w:val="24"/>
          <w:szCs w:val="24"/>
        </w:rPr>
        <w:t>tiap negara. Isu ini menjadi penting karena kekerasan terhadap perempuan dapat terjadi di setiap waktu, tempat, serta kondisi. Kekerasan ini juga dapat dilakukan oleh siapapun, baik orang asing, kerabat, orang tua, bahkan pasangan.</w:t>
      </w:r>
    </w:p>
    <w:p w:rsidR="0053678A" w:rsidRDefault="001057F2">
      <w:pPr>
        <w:pStyle w:val="BodyText"/>
        <w:ind w:firstLine="567"/>
        <w:rPr>
          <w:rFonts w:ascii="Garamond" w:hAnsi="Garamond"/>
          <w:sz w:val="24"/>
          <w:szCs w:val="24"/>
        </w:rPr>
      </w:pPr>
      <w:r>
        <w:rPr>
          <w:rFonts w:ascii="Garamond" w:hAnsi="Garamond"/>
          <w:sz w:val="24"/>
          <w:szCs w:val="24"/>
        </w:rPr>
        <w:t xml:space="preserve">Secara global, </w:t>
      </w:r>
      <w:r>
        <w:rPr>
          <w:rFonts w:ascii="Garamond" w:hAnsi="Garamond"/>
          <w:sz w:val="24"/>
          <w:szCs w:val="24"/>
        </w:rPr>
        <w:t>diperkirakan total 87.000 wanita yang sengaja dibunuh pada tahun 2017. Ada lebih dari setengah dari mereka dibunuh oleh keluarga mereka setiap hari. Lebih dari 30.000 wanita sengaja dibunuh oleh pasangan intim mereka saat ini atau mantannya.</w:t>
      </w:r>
      <w:r>
        <w:rPr>
          <w:rStyle w:val="FootnoteReference"/>
          <w:rFonts w:ascii="Garamond" w:hAnsi="Garamond"/>
          <w:sz w:val="24"/>
          <w:szCs w:val="24"/>
        </w:rPr>
        <w:footnoteReference w:id="1"/>
      </w:r>
    </w:p>
    <w:p w:rsidR="0053678A" w:rsidRDefault="001057F2">
      <w:pPr>
        <w:pStyle w:val="BodyText"/>
        <w:ind w:firstLine="567"/>
        <w:rPr>
          <w:rFonts w:ascii="Garamond" w:hAnsi="Garamond"/>
          <w:sz w:val="24"/>
          <w:szCs w:val="24"/>
        </w:rPr>
      </w:pPr>
      <w:r>
        <w:rPr>
          <w:rStyle w:val="fontstyle01"/>
          <w:rFonts w:ascii="Garamond" w:hAnsi="Garamond"/>
        </w:rPr>
        <w:t xml:space="preserve">Kekerasan </w:t>
      </w:r>
      <w:r>
        <w:rPr>
          <w:rStyle w:val="fontstyle01"/>
          <w:rFonts w:ascii="Garamond" w:hAnsi="Garamond"/>
        </w:rPr>
        <w:t xml:space="preserve">terhadap perempuan dapat berbentuk tindak kekerasan fisik, psikis dan seksual. Kekerasan yang selalu terlihat jelas biasanya adalah kekerasan seksual. </w:t>
      </w:r>
      <w:r>
        <w:rPr>
          <w:rFonts w:ascii="Garamond" w:hAnsi="Garamond"/>
          <w:color w:val="000000"/>
          <w:spacing w:val="0"/>
          <w:sz w:val="24"/>
          <w:szCs w:val="24"/>
        </w:rPr>
        <w:t>Dalam skala global, satu dari tiga wanita akan menghadapi beberapa jenis kekerasan fisik dan / atau seksu</w:t>
      </w:r>
      <w:r>
        <w:rPr>
          <w:rFonts w:ascii="Garamond" w:hAnsi="Garamond"/>
          <w:color w:val="000000"/>
          <w:spacing w:val="0"/>
          <w:sz w:val="24"/>
          <w:szCs w:val="24"/>
        </w:rPr>
        <w:t>al dari pasangan intim.</w:t>
      </w:r>
      <w:r>
        <w:rPr>
          <w:rStyle w:val="FootnoteReference"/>
          <w:rFonts w:ascii="Garamond" w:hAnsi="Garamond"/>
          <w:color w:val="000000"/>
          <w:spacing w:val="0"/>
          <w:sz w:val="24"/>
          <w:szCs w:val="24"/>
        </w:rPr>
        <w:footnoteReference w:id="2"/>
      </w:r>
    </w:p>
    <w:p w:rsidR="0053678A" w:rsidRDefault="001057F2">
      <w:pPr>
        <w:pStyle w:val="BodyText"/>
        <w:ind w:firstLine="567"/>
        <w:rPr>
          <w:rStyle w:val="fontstyle01"/>
          <w:rFonts w:ascii="Garamond" w:hAnsi="Garamond"/>
          <w:color w:val="auto"/>
        </w:rPr>
      </w:pPr>
      <w:r>
        <w:rPr>
          <w:rFonts w:ascii="Garamond" w:hAnsi="Garamond"/>
          <w:sz w:val="24"/>
          <w:szCs w:val="24"/>
        </w:rPr>
        <w:t xml:space="preserve">Di Indonesia, Catatan Tahunan (CATAHU) Komnas perempuan 2020 mencatat 431.471 kasus kekerasan terhadap perempuan yang masuk dan ditangani sepanjang tahun 2019. Terdapat kenaikan </w:t>
      </w:r>
      <w:r>
        <w:rPr>
          <w:rFonts w:ascii="Garamond" w:hAnsi="Garamond"/>
          <w:sz w:val="24"/>
          <w:szCs w:val="24"/>
        </w:rPr>
        <w:lastRenderedPageBreak/>
        <w:t xml:space="preserve">6% dari tahun sebelumnya. CATAHU juga mencatat bahwa </w:t>
      </w:r>
      <w:r>
        <w:rPr>
          <w:rFonts w:ascii="Garamond" w:hAnsi="Garamond"/>
          <w:sz w:val="24"/>
          <w:szCs w:val="24"/>
        </w:rPr>
        <w:t>kasus terbanyak terdapat pada ranah privat/personal sebanyak 75%. Pelaku kekerasan terhadap perempuan pada ranah privat/personal ini adalah orang yang memiliki hubungan darah, kekerabatan, perkawinan, maupun relasi intim dengan korban.</w:t>
      </w:r>
      <w:r>
        <w:rPr>
          <w:rStyle w:val="FootnoteReference"/>
          <w:rFonts w:ascii="Garamond" w:hAnsi="Garamond"/>
          <w:sz w:val="24"/>
          <w:szCs w:val="24"/>
        </w:rPr>
        <w:footnoteReference w:id="3"/>
      </w:r>
    </w:p>
    <w:p w:rsidR="0053678A" w:rsidRDefault="001057F2">
      <w:pPr>
        <w:pStyle w:val="BodyText"/>
        <w:ind w:firstLine="567"/>
        <w:rPr>
          <w:rFonts w:ascii="Garamond" w:hAnsi="Garamond"/>
          <w:sz w:val="24"/>
          <w:szCs w:val="24"/>
        </w:rPr>
      </w:pPr>
      <w:r>
        <w:rPr>
          <w:rFonts w:ascii="Garamond" w:hAnsi="Garamond"/>
          <w:color w:val="000000"/>
          <w:sz w:val="24"/>
          <w:szCs w:val="24"/>
        </w:rPr>
        <w:t>Bentuk kekerasan te</w:t>
      </w:r>
      <w:r>
        <w:rPr>
          <w:rFonts w:ascii="Garamond" w:hAnsi="Garamond"/>
          <w:color w:val="000000"/>
          <w:sz w:val="24"/>
          <w:szCs w:val="24"/>
        </w:rPr>
        <w:t xml:space="preserve">rhadap perempuan yang </w:t>
      </w:r>
      <w:r>
        <w:rPr>
          <w:rStyle w:val="fontstyle01"/>
          <w:rFonts w:ascii="Garamond" w:hAnsi="Garamond"/>
        </w:rPr>
        <w:t>paling sering terjadi serta menjadi kasus hukum di Indonesia adalah kekerasan dalam rumah tangga (KDRT). Wujud kekerasannya dapat berupa kekerasan verbal,</w:t>
      </w:r>
      <w:r>
        <w:rPr>
          <w:rFonts w:ascii="Garamond" w:hAnsi="Garamond"/>
          <w:color w:val="000000"/>
        </w:rPr>
        <w:t xml:space="preserve"> </w:t>
      </w:r>
      <w:r>
        <w:rPr>
          <w:rStyle w:val="fontstyle01"/>
          <w:rFonts w:ascii="Garamond" w:hAnsi="Garamond"/>
        </w:rPr>
        <w:t>fisik, psikis, hingga seksual. Baik itu secara sadar maupun tidak.</w:t>
      </w:r>
      <w:r>
        <w:rPr>
          <w:rStyle w:val="FootnoteReference"/>
          <w:rFonts w:ascii="Garamond" w:hAnsi="Garamond"/>
          <w:color w:val="000000"/>
          <w:sz w:val="24"/>
          <w:szCs w:val="24"/>
        </w:rPr>
        <w:footnoteReference w:id="4"/>
      </w:r>
    </w:p>
    <w:p w:rsidR="0053678A" w:rsidRDefault="001057F2">
      <w:pPr>
        <w:pStyle w:val="BodyText"/>
        <w:ind w:firstLine="567"/>
        <w:rPr>
          <w:rFonts w:ascii="Garamond" w:hAnsi="Garamond"/>
          <w:sz w:val="24"/>
          <w:szCs w:val="24"/>
        </w:rPr>
      </w:pPr>
      <w:r>
        <w:rPr>
          <w:rFonts w:ascii="Garamond" w:hAnsi="Garamond"/>
          <w:color w:val="000000"/>
          <w:spacing w:val="0"/>
          <w:sz w:val="24"/>
          <w:szCs w:val="24"/>
        </w:rPr>
        <w:t>Terdapat be</w:t>
      </w:r>
      <w:r>
        <w:rPr>
          <w:rFonts w:ascii="Garamond" w:hAnsi="Garamond"/>
          <w:color w:val="000000"/>
          <w:spacing w:val="0"/>
          <w:sz w:val="24"/>
          <w:szCs w:val="24"/>
        </w:rPr>
        <w:t xml:space="preserve">rbagai macam bentuk pencegahan kekerasan terhadap perempuan di Indonesia, baik itu dari agama, pemerintah, organisasi masyarakat, hingga masyarakat adat. Salah satunya adalah </w:t>
      </w:r>
      <w:r>
        <w:rPr>
          <w:rFonts w:ascii="Garamond" w:hAnsi="Garamond"/>
          <w:i/>
          <w:iCs/>
          <w:color w:val="000000"/>
          <w:spacing w:val="0"/>
          <w:sz w:val="24"/>
          <w:szCs w:val="24"/>
        </w:rPr>
        <w:t>Barambangan</w:t>
      </w:r>
      <w:r>
        <w:rPr>
          <w:rFonts w:ascii="Garamond" w:hAnsi="Garamond"/>
          <w:color w:val="000000"/>
          <w:spacing w:val="0"/>
          <w:sz w:val="24"/>
          <w:szCs w:val="24"/>
        </w:rPr>
        <w:t xml:space="preserve">. </w:t>
      </w:r>
      <w:r>
        <w:rPr>
          <w:rFonts w:ascii="Garamond" w:hAnsi="Garamond"/>
          <w:i/>
          <w:iCs/>
          <w:color w:val="000000"/>
          <w:spacing w:val="0"/>
          <w:sz w:val="24"/>
          <w:szCs w:val="24"/>
        </w:rPr>
        <w:t>Barambangan</w:t>
      </w:r>
      <w:r>
        <w:rPr>
          <w:rFonts w:ascii="Garamond" w:hAnsi="Garamond"/>
          <w:color w:val="000000"/>
          <w:spacing w:val="0"/>
          <w:sz w:val="24"/>
          <w:szCs w:val="24"/>
        </w:rPr>
        <w:t xml:space="preserve"> adalah salah satu hukum adat masyarakat Banjar, Kalimant</w:t>
      </w:r>
      <w:r>
        <w:rPr>
          <w:rFonts w:ascii="Garamond" w:hAnsi="Garamond"/>
          <w:color w:val="000000"/>
          <w:spacing w:val="0"/>
          <w:sz w:val="24"/>
          <w:szCs w:val="24"/>
        </w:rPr>
        <w:t xml:space="preserve">an Selatan. Aturan </w:t>
      </w:r>
      <w:r>
        <w:rPr>
          <w:rFonts w:ascii="Garamond" w:hAnsi="Garamond"/>
          <w:i/>
          <w:iCs/>
          <w:color w:val="000000"/>
          <w:spacing w:val="0"/>
          <w:sz w:val="24"/>
          <w:szCs w:val="24"/>
        </w:rPr>
        <w:t>Barambangan</w:t>
      </w:r>
      <w:r>
        <w:rPr>
          <w:rFonts w:ascii="Garamond" w:hAnsi="Garamond"/>
          <w:color w:val="000000"/>
          <w:spacing w:val="0"/>
          <w:sz w:val="24"/>
          <w:szCs w:val="24"/>
        </w:rPr>
        <w:t xml:space="preserve"> ini dapat ditemukan dalam Undang-Undang Sultan Adam (UUSA) perkara 18.</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UUSA merupakan produk hukum adat yang tertulis. UUSA berlaku sejak ditetapkan oleh Sultan Adam Al-Watsiq Billah sebagai Raja Kesultanan Banjar </w:t>
      </w:r>
      <w:r>
        <w:rPr>
          <w:rFonts w:ascii="Garamond" w:hAnsi="Garamond"/>
          <w:color w:val="000000"/>
          <w:spacing w:val="0"/>
          <w:sz w:val="24"/>
          <w:szCs w:val="24"/>
        </w:rPr>
        <w:lastRenderedPageBreak/>
        <w:t xml:space="preserve">(1825-1827 </w:t>
      </w:r>
      <w:r>
        <w:rPr>
          <w:rFonts w:ascii="Garamond" w:hAnsi="Garamond"/>
          <w:color w:val="000000"/>
          <w:spacing w:val="0"/>
          <w:sz w:val="24"/>
          <w:szCs w:val="24"/>
        </w:rPr>
        <w:t>M) pada hari Kamis tanggal 15 Muharram 1251 H.</w:t>
      </w:r>
      <w:r>
        <w:rPr>
          <w:rStyle w:val="FootnoteReference"/>
          <w:rFonts w:ascii="Garamond" w:hAnsi="Garamond"/>
          <w:color w:val="000000"/>
          <w:spacing w:val="0"/>
          <w:sz w:val="24"/>
          <w:szCs w:val="24"/>
        </w:rPr>
        <w:footnoteReference w:id="5"/>
      </w:r>
      <w:r>
        <w:rPr>
          <w:rFonts w:ascii="Garamond" w:hAnsi="Garamond"/>
          <w:color w:val="000000"/>
          <w:spacing w:val="0"/>
          <w:sz w:val="24"/>
          <w:szCs w:val="24"/>
        </w:rPr>
        <w:t xml:space="preserve"> Alasan UUSA ini dibuat untuk memperkokoh kesatuan kerajaan` dan mencegah konflik dalam kehidupan beragama masyarakat Banjar.</w:t>
      </w:r>
      <w:r>
        <w:rPr>
          <w:rStyle w:val="FootnoteReference"/>
          <w:rFonts w:ascii="Garamond" w:hAnsi="Garamond"/>
          <w:color w:val="000000"/>
          <w:spacing w:val="0"/>
          <w:sz w:val="24"/>
          <w:szCs w:val="24"/>
        </w:rPr>
        <w:footnoteReference w:id="6"/>
      </w:r>
      <w:r>
        <w:rPr>
          <w:rFonts w:ascii="Garamond" w:hAnsi="Garamond"/>
          <w:color w:val="000000"/>
          <w:spacing w:val="0"/>
          <w:sz w:val="24"/>
          <w:szCs w:val="24"/>
        </w:rPr>
        <w:t xml:space="preserve"> UUSA dianggap sebagai undang-undang yang dapat meningkatkan nilai-nilai agama masy</w:t>
      </w:r>
      <w:r>
        <w:rPr>
          <w:rFonts w:ascii="Garamond" w:hAnsi="Garamond"/>
          <w:color w:val="000000"/>
          <w:spacing w:val="0"/>
          <w:sz w:val="24"/>
          <w:szCs w:val="24"/>
        </w:rPr>
        <w:t>arakat. Sekaligus bisa dijadikan pedoman bagi hakim dalam memutus perkara. Selain itu, UUSA dianggap sebagai alat pemersatu kerajaan.</w:t>
      </w:r>
      <w:r>
        <w:rPr>
          <w:rStyle w:val="FootnoteReference"/>
          <w:rFonts w:ascii="Garamond" w:hAnsi="Garamond"/>
          <w:color w:val="000000"/>
          <w:spacing w:val="0"/>
          <w:sz w:val="24"/>
          <w:szCs w:val="24"/>
        </w:rPr>
        <w:footnoteReference w:id="7"/>
      </w:r>
    </w:p>
    <w:p w:rsidR="0053678A" w:rsidRDefault="001057F2">
      <w:pPr>
        <w:pStyle w:val="BodyText"/>
        <w:ind w:firstLine="567"/>
        <w:rPr>
          <w:rFonts w:ascii="Garamond" w:hAnsi="Garamond"/>
          <w:sz w:val="24"/>
          <w:szCs w:val="24"/>
        </w:rPr>
      </w:pPr>
      <w:r>
        <w:rPr>
          <w:rFonts w:ascii="Garamond" w:hAnsi="Garamond"/>
          <w:color w:val="000000"/>
          <w:spacing w:val="0"/>
          <w:sz w:val="24"/>
          <w:szCs w:val="24"/>
        </w:rPr>
        <w:t>Masyarakat</w:t>
      </w:r>
      <w:r>
        <w:rPr>
          <w:rFonts w:ascii="Garamond" w:hAnsi="Garamond"/>
          <w:szCs w:val="24"/>
        </w:rPr>
        <w:t xml:space="preserve"> </w:t>
      </w:r>
      <w:r>
        <w:rPr>
          <w:rFonts w:ascii="Garamond" w:hAnsi="Garamond"/>
          <w:color w:val="000000"/>
          <w:spacing w:val="0"/>
          <w:sz w:val="24"/>
          <w:szCs w:val="24"/>
        </w:rPr>
        <w:t xml:space="preserve">Banjar pada umumnya sudah tidak asing lagi dengan istilah </w:t>
      </w:r>
      <w:r>
        <w:rPr>
          <w:rFonts w:ascii="Garamond" w:hAnsi="Garamond"/>
          <w:i/>
          <w:iCs/>
          <w:color w:val="000000"/>
          <w:spacing w:val="0"/>
          <w:sz w:val="24"/>
          <w:szCs w:val="24"/>
        </w:rPr>
        <w:t>Barambangan</w:t>
      </w:r>
      <w:r>
        <w:rPr>
          <w:rFonts w:ascii="Garamond" w:hAnsi="Garamond"/>
          <w:color w:val="000000"/>
          <w:spacing w:val="0"/>
          <w:sz w:val="24"/>
          <w:szCs w:val="24"/>
        </w:rPr>
        <w:t xml:space="preserve">. Istilah </w:t>
      </w:r>
      <w:r>
        <w:rPr>
          <w:rFonts w:ascii="Garamond" w:hAnsi="Garamond"/>
          <w:i/>
          <w:iCs/>
          <w:color w:val="000000"/>
          <w:spacing w:val="0"/>
          <w:sz w:val="24"/>
          <w:szCs w:val="24"/>
        </w:rPr>
        <w:t>Barambangan</w:t>
      </w:r>
      <w:r>
        <w:rPr>
          <w:rFonts w:ascii="Garamond" w:hAnsi="Garamond"/>
          <w:color w:val="000000"/>
          <w:spacing w:val="0"/>
          <w:sz w:val="24"/>
          <w:szCs w:val="24"/>
        </w:rPr>
        <w:t xml:space="preserve"> merupakan suatu </w:t>
      </w:r>
      <w:r>
        <w:rPr>
          <w:rFonts w:ascii="Garamond" w:hAnsi="Garamond"/>
          <w:color w:val="000000"/>
          <w:spacing w:val="0"/>
          <w:sz w:val="24"/>
          <w:szCs w:val="24"/>
        </w:rPr>
        <w:t xml:space="preserve">keadaan suami dan istri yang sudah tidak harmonis lagi karena terjadi beberapa konflik, sehingga mereka harus berpisah tempat tinggal. Kata </w:t>
      </w:r>
      <w:r>
        <w:rPr>
          <w:rFonts w:ascii="Garamond" w:hAnsi="Garamond"/>
          <w:i/>
          <w:iCs/>
          <w:color w:val="000000"/>
          <w:spacing w:val="0"/>
          <w:sz w:val="24"/>
          <w:szCs w:val="24"/>
        </w:rPr>
        <w:t>Barambangan</w:t>
      </w:r>
      <w:r>
        <w:rPr>
          <w:rFonts w:ascii="Garamond" w:hAnsi="Garamond"/>
          <w:color w:val="000000"/>
          <w:spacing w:val="0"/>
          <w:sz w:val="24"/>
          <w:szCs w:val="24"/>
        </w:rPr>
        <w:t xml:space="preserve"> berarti suami istri itu dalam keadaan belum resmi bercerai tetapi baru berpisah tempat tinggal.</w:t>
      </w:r>
      <w:r>
        <w:rPr>
          <w:rStyle w:val="FootnoteReference"/>
          <w:rFonts w:ascii="Garamond" w:hAnsi="Garamond"/>
          <w:color w:val="000000"/>
          <w:spacing w:val="0"/>
          <w:sz w:val="24"/>
          <w:szCs w:val="24"/>
        </w:rPr>
        <w:footnoteReference w:id="8"/>
      </w:r>
    </w:p>
    <w:p w:rsidR="0053678A" w:rsidRDefault="001057F2">
      <w:pPr>
        <w:pStyle w:val="BodyText"/>
        <w:ind w:firstLine="567"/>
        <w:rPr>
          <w:rFonts w:ascii="Garamond" w:hAnsi="Garamond"/>
          <w:sz w:val="24"/>
          <w:szCs w:val="24"/>
        </w:rPr>
      </w:pPr>
      <w:r>
        <w:rPr>
          <w:rFonts w:ascii="Garamond" w:hAnsi="Garamond"/>
          <w:color w:val="000000"/>
          <w:spacing w:val="0"/>
          <w:sz w:val="24"/>
          <w:szCs w:val="24"/>
        </w:rPr>
        <w:t>Menurut</w:t>
      </w:r>
      <w:r>
        <w:rPr>
          <w:rFonts w:ascii="Garamond" w:hAnsi="Garamond"/>
          <w:color w:val="000000"/>
          <w:spacing w:val="0"/>
          <w:sz w:val="24"/>
          <w:szCs w:val="24"/>
        </w:rPr>
        <w:t xml:space="preserve"> Rezkianoor, tradisi </w:t>
      </w:r>
      <w:r>
        <w:rPr>
          <w:rFonts w:ascii="Garamond" w:hAnsi="Garamond"/>
          <w:i/>
          <w:iCs/>
          <w:color w:val="000000"/>
          <w:spacing w:val="0"/>
          <w:sz w:val="24"/>
          <w:szCs w:val="24"/>
        </w:rPr>
        <w:t>Barambangan</w:t>
      </w:r>
      <w:r>
        <w:rPr>
          <w:rFonts w:ascii="Garamond" w:hAnsi="Garamond"/>
          <w:color w:val="000000"/>
          <w:spacing w:val="0"/>
          <w:sz w:val="24"/>
          <w:szCs w:val="24"/>
        </w:rPr>
        <w:t xml:space="preserve"> ini mengandung tiga hukum. Pertama, suami dilarang memegang atau mengajak</w:t>
      </w:r>
      <w:r>
        <w:rPr>
          <w:rFonts w:ascii="Garamond" w:hAnsi="Garamond"/>
          <w:color w:val="000000"/>
          <w:spacing w:val="0"/>
        </w:rPr>
        <w:t xml:space="preserve"> </w:t>
      </w:r>
      <w:r>
        <w:rPr>
          <w:rFonts w:ascii="Garamond" w:hAnsi="Garamond"/>
          <w:color w:val="000000"/>
          <w:spacing w:val="0"/>
          <w:sz w:val="24"/>
          <w:szCs w:val="24"/>
        </w:rPr>
        <w:t xml:space="preserve">istrinya untuk bersatu kembali secara langsung ketika masih dalam keadaan </w:t>
      </w:r>
      <w:r>
        <w:rPr>
          <w:rFonts w:ascii="Garamond" w:hAnsi="Garamond"/>
          <w:i/>
          <w:iCs/>
          <w:color w:val="000000"/>
          <w:spacing w:val="0"/>
          <w:sz w:val="24"/>
          <w:szCs w:val="24"/>
        </w:rPr>
        <w:lastRenderedPageBreak/>
        <w:t>Barambangan</w:t>
      </w:r>
      <w:r>
        <w:rPr>
          <w:rFonts w:ascii="Garamond" w:hAnsi="Garamond"/>
          <w:color w:val="000000"/>
          <w:spacing w:val="0"/>
          <w:sz w:val="24"/>
          <w:szCs w:val="24"/>
        </w:rPr>
        <w:t>. Suami diperintahkan</w:t>
      </w:r>
      <w:r>
        <w:rPr>
          <w:rFonts w:ascii="Garamond" w:hAnsi="Garamond"/>
          <w:color w:val="000000"/>
          <w:spacing w:val="0"/>
        </w:rPr>
        <w:t xml:space="preserve"> </w:t>
      </w:r>
      <w:r>
        <w:rPr>
          <w:rFonts w:ascii="Garamond" w:hAnsi="Garamond"/>
          <w:color w:val="000000"/>
          <w:spacing w:val="0"/>
          <w:sz w:val="24"/>
          <w:szCs w:val="24"/>
        </w:rPr>
        <w:t>untuk segera berdamai terlebih dahulu sebe</w:t>
      </w:r>
      <w:r>
        <w:rPr>
          <w:rFonts w:ascii="Garamond" w:hAnsi="Garamond"/>
          <w:color w:val="000000"/>
          <w:spacing w:val="0"/>
          <w:sz w:val="24"/>
          <w:szCs w:val="24"/>
        </w:rPr>
        <w:t>lum memegang istrinya. Kedua, perdamaian suami istri yang</w:t>
      </w:r>
      <w:r>
        <w:rPr>
          <w:rFonts w:ascii="Garamond" w:hAnsi="Garamond"/>
          <w:color w:val="000000"/>
          <w:spacing w:val="0"/>
        </w:rPr>
        <w:t xml:space="preserve"> </w:t>
      </w:r>
      <w:r>
        <w:rPr>
          <w:rFonts w:ascii="Garamond" w:hAnsi="Garamond"/>
          <w:i/>
          <w:iCs/>
          <w:color w:val="000000"/>
          <w:spacing w:val="0"/>
          <w:sz w:val="24"/>
          <w:szCs w:val="24"/>
        </w:rPr>
        <w:t xml:space="preserve">Barambangan </w:t>
      </w:r>
      <w:r>
        <w:rPr>
          <w:rFonts w:ascii="Garamond" w:hAnsi="Garamond"/>
          <w:color w:val="000000"/>
          <w:spacing w:val="0"/>
          <w:sz w:val="24"/>
          <w:szCs w:val="24"/>
        </w:rPr>
        <w:t>dilakukan oleh hakim sebagai ahli hukum Islam</w:t>
      </w:r>
      <w:r>
        <w:rPr>
          <w:rFonts w:ascii="Garamond" w:hAnsi="Garamond"/>
          <w:color w:val="000000"/>
          <w:spacing w:val="0"/>
        </w:rPr>
        <w:t xml:space="preserve"> </w:t>
      </w:r>
      <w:r>
        <w:rPr>
          <w:rFonts w:ascii="Garamond" w:hAnsi="Garamond"/>
          <w:color w:val="000000"/>
          <w:spacing w:val="0"/>
          <w:sz w:val="24"/>
          <w:szCs w:val="24"/>
        </w:rPr>
        <w:t>dan kerabat suami istri sebagai perwakilan hukum adat. Ketiga,</w:t>
      </w:r>
      <w:r>
        <w:rPr>
          <w:rFonts w:ascii="Garamond" w:hAnsi="Garamond"/>
          <w:color w:val="000000"/>
          <w:spacing w:val="0"/>
        </w:rPr>
        <w:t xml:space="preserve"> </w:t>
      </w:r>
      <w:r>
        <w:rPr>
          <w:rFonts w:ascii="Garamond" w:hAnsi="Garamond"/>
          <w:color w:val="000000"/>
          <w:spacing w:val="0"/>
          <w:sz w:val="24"/>
          <w:szCs w:val="24"/>
        </w:rPr>
        <w:t xml:space="preserve">jika masalah </w:t>
      </w:r>
      <w:r>
        <w:rPr>
          <w:rFonts w:ascii="Garamond" w:hAnsi="Garamond"/>
          <w:i/>
          <w:iCs/>
          <w:color w:val="000000"/>
          <w:spacing w:val="0"/>
          <w:sz w:val="24"/>
          <w:szCs w:val="24"/>
        </w:rPr>
        <w:t xml:space="preserve">Barambangan </w:t>
      </w:r>
      <w:r>
        <w:rPr>
          <w:rFonts w:ascii="Garamond" w:hAnsi="Garamond"/>
          <w:color w:val="000000"/>
          <w:spacing w:val="0"/>
          <w:sz w:val="24"/>
          <w:szCs w:val="24"/>
        </w:rPr>
        <w:t>telah menemui jalan buntu, maka</w:t>
      </w:r>
      <w:r>
        <w:rPr>
          <w:rFonts w:ascii="Garamond" w:hAnsi="Garamond"/>
          <w:color w:val="000000"/>
          <w:spacing w:val="0"/>
        </w:rPr>
        <w:t xml:space="preserve"> </w:t>
      </w:r>
      <w:r>
        <w:rPr>
          <w:rFonts w:ascii="Garamond" w:hAnsi="Garamond"/>
          <w:color w:val="000000"/>
          <w:spacing w:val="0"/>
          <w:sz w:val="24"/>
          <w:szCs w:val="24"/>
        </w:rPr>
        <w:t>hakim melimpahkan ke</w:t>
      </w:r>
      <w:r>
        <w:rPr>
          <w:rFonts w:ascii="Garamond" w:hAnsi="Garamond"/>
          <w:color w:val="000000"/>
          <w:spacing w:val="0"/>
          <w:sz w:val="24"/>
          <w:szCs w:val="24"/>
        </w:rPr>
        <w:t>pada sultan dalam hal penyelesaiannya.</w:t>
      </w:r>
      <w:r>
        <w:rPr>
          <w:rStyle w:val="FootnoteReference"/>
          <w:rFonts w:ascii="Garamond" w:hAnsi="Garamond"/>
          <w:color w:val="000000"/>
          <w:spacing w:val="0"/>
          <w:sz w:val="24"/>
          <w:szCs w:val="24"/>
        </w:rPr>
        <w:footnoteReference w:id="9"/>
      </w:r>
    </w:p>
    <w:p w:rsidR="0053678A" w:rsidRDefault="001057F2">
      <w:pPr>
        <w:pStyle w:val="BodyText"/>
        <w:ind w:firstLine="567"/>
        <w:rPr>
          <w:rFonts w:ascii="Garamond" w:hAnsi="Garamond"/>
          <w:sz w:val="24"/>
          <w:szCs w:val="24"/>
        </w:rPr>
      </w:pPr>
      <w:r>
        <w:rPr>
          <w:rFonts w:ascii="Garamond" w:hAnsi="Garamond"/>
          <w:color w:val="000000"/>
          <w:spacing w:val="0"/>
          <w:sz w:val="24"/>
          <w:szCs w:val="24"/>
        </w:rPr>
        <w:t xml:space="preserve">Pada penelitian ini, yang menjadi pokok bahasan  adalah tradisi </w:t>
      </w:r>
      <w:r>
        <w:rPr>
          <w:rFonts w:ascii="Garamond" w:hAnsi="Garamond"/>
          <w:i/>
          <w:iCs/>
          <w:color w:val="000000"/>
          <w:spacing w:val="0"/>
          <w:sz w:val="24"/>
          <w:szCs w:val="24"/>
        </w:rPr>
        <w:t>Barambangan</w:t>
      </w:r>
      <w:r>
        <w:rPr>
          <w:rFonts w:ascii="Garamond" w:hAnsi="Garamond"/>
          <w:color w:val="000000"/>
          <w:spacing w:val="0"/>
          <w:sz w:val="24"/>
          <w:szCs w:val="24"/>
        </w:rPr>
        <w:t xml:space="preserve"> yang menjadi pencegah tindak kekerasan terhadap perempuan. Bagaimanakah tradisi </w:t>
      </w:r>
      <w:r>
        <w:rPr>
          <w:rFonts w:ascii="Garamond" w:hAnsi="Garamond"/>
          <w:i/>
          <w:iCs/>
          <w:color w:val="000000"/>
          <w:spacing w:val="0"/>
          <w:sz w:val="24"/>
          <w:szCs w:val="24"/>
        </w:rPr>
        <w:t>Barambangan</w:t>
      </w:r>
      <w:r>
        <w:rPr>
          <w:rFonts w:ascii="Garamond" w:hAnsi="Garamond"/>
          <w:color w:val="000000"/>
          <w:spacing w:val="0"/>
          <w:sz w:val="24"/>
          <w:szCs w:val="24"/>
        </w:rPr>
        <w:t xml:space="preserve"> mencegah kekerasan terhadap perempuan? Lalu baga</w:t>
      </w:r>
      <w:r>
        <w:rPr>
          <w:rFonts w:ascii="Garamond" w:hAnsi="Garamond"/>
          <w:color w:val="000000"/>
          <w:spacing w:val="0"/>
          <w:sz w:val="24"/>
          <w:szCs w:val="24"/>
        </w:rPr>
        <w:t xml:space="preserve">imana pencegahan ini jika dilihat dari sudut pandang HAM?. Penelitian ini menggunakan beberapa teori untuk menganalisa pencegahan tindak kekerasan terhadap perempuan yang  ada dalam tradisi </w:t>
      </w:r>
      <w:r>
        <w:rPr>
          <w:rFonts w:ascii="Garamond" w:hAnsi="Garamond"/>
          <w:i/>
          <w:iCs/>
          <w:color w:val="000000"/>
          <w:spacing w:val="0"/>
          <w:sz w:val="24"/>
          <w:szCs w:val="24"/>
        </w:rPr>
        <w:t>Barambangan</w:t>
      </w:r>
      <w:r>
        <w:rPr>
          <w:rFonts w:ascii="Garamond" w:hAnsi="Garamond"/>
          <w:color w:val="000000"/>
          <w:spacing w:val="0"/>
          <w:sz w:val="24"/>
          <w:szCs w:val="24"/>
        </w:rPr>
        <w:t xml:space="preserve">. Diantara teori-teori tersebut yakni, teori KDRT, dan </w:t>
      </w:r>
      <w:r>
        <w:rPr>
          <w:rFonts w:ascii="Garamond" w:hAnsi="Garamond"/>
          <w:color w:val="000000"/>
          <w:spacing w:val="0"/>
          <w:sz w:val="24"/>
          <w:szCs w:val="24"/>
        </w:rPr>
        <w:t>teori fungsional.</w:t>
      </w:r>
    </w:p>
    <w:p w:rsidR="0053678A" w:rsidRDefault="001057F2">
      <w:pPr>
        <w:tabs>
          <w:tab w:val="left" w:pos="3315"/>
          <w:tab w:val="center" w:pos="4820"/>
        </w:tabs>
        <w:spacing w:before="240" w:after="40"/>
        <w:jc w:val="left"/>
        <w:rPr>
          <w:rFonts w:ascii="Garamond" w:hAnsi="Garamond"/>
          <w:b/>
        </w:rPr>
      </w:pPr>
      <w:r>
        <w:rPr>
          <w:rFonts w:ascii="Garamond" w:hAnsi="Garamond"/>
          <w:b/>
          <w:sz w:val="28"/>
          <w:szCs w:val="28"/>
          <w:lang w:val="id-ID"/>
        </w:rPr>
        <w:t>METODE</w:t>
      </w:r>
    </w:p>
    <w:p w:rsidR="0053678A" w:rsidRDefault="001057F2">
      <w:pPr>
        <w:pStyle w:val="BodyText"/>
        <w:ind w:firstLine="567"/>
        <w:rPr>
          <w:rFonts w:ascii="Garamond" w:hAnsi="Garamond"/>
          <w:sz w:val="24"/>
          <w:szCs w:val="24"/>
        </w:rPr>
      </w:pPr>
      <w:r>
        <w:rPr>
          <w:rFonts w:ascii="Garamond" w:hAnsi="Garamond"/>
          <w:sz w:val="24"/>
          <w:szCs w:val="24"/>
        </w:rPr>
        <w:t xml:space="preserve">Penelitian ini menggunakan metode penelitian hukum normatif. Penelitian </w:t>
      </w:r>
      <w:r>
        <w:rPr>
          <w:rFonts w:ascii="Garamond" w:hAnsi="Garamond"/>
          <w:sz w:val="24"/>
          <w:szCs w:val="24"/>
        </w:rPr>
        <w:lastRenderedPageBreak/>
        <w:t xml:space="preserve">hukum normatif hanya berfokus pada penelitian sumber data sekunder. </w:t>
      </w:r>
      <w:r>
        <w:rPr>
          <w:rFonts w:ascii="Garamond" w:hAnsi="Garamond"/>
          <w:sz w:val="24"/>
          <w:szCs w:val="24"/>
        </w:rPr>
        <w:t xml:space="preserve">Penelitian ini menggunakan dua pendekatan penelitian, yaitu </w:t>
      </w:r>
      <w:r>
        <w:rPr>
          <w:rFonts w:ascii="Garamond" w:hAnsi="Garamond"/>
          <w:i/>
          <w:iCs/>
          <w:sz w:val="24"/>
          <w:szCs w:val="24"/>
        </w:rPr>
        <w:t>conceptual approach</w:t>
      </w:r>
      <w:r>
        <w:rPr>
          <w:rFonts w:ascii="Garamond" w:hAnsi="Garamond"/>
          <w:sz w:val="24"/>
          <w:szCs w:val="24"/>
        </w:rPr>
        <w:t xml:space="preserve"> dan </w:t>
      </w:r>
      <w:r>
        <w:rPr>
          <w:rFonts w:ascii="Garamond" w:hAnsi="Garamond"/>
          <w:i/>
          <w:iCs/>
          <w:sz w:val="24"/>
          <w:szCs w:val="24"/>
        </w:rPr>
        <w:t>grammat</w:t>
      </w:r>
      <w:r>
        <w:rPr>
          <w:rFonts w:ascii="Garamond" w:hAnsi="Garamond"/>
          <w:i/>
          <w:iCs/>
          <w:sz w:val="24"/>
          <w:szCs w:val="24"/>
        </w:rPr>
        <w:t>ical approach</w:t>
      </w:r>
      <w:r>
        <w:rPr>
          <w:rFonts w:ascii="Garamond" w:hAnsi="Garamond"/>
          <w:sz w:val="24"/>
          <w:szCs w:val="24"/>
        </w:rPr>
        <w:t>.</w:t>
      </w:r>
    </w:p>
    <w:p w:rsidR="0053678A" w:rsidRDefault="001057F2">
      <w:pPr>
        <w:pStyle w:val="BodyText"/>
        <w:ind w:firstLine="567"/>
        <w:rPr>
          <w:rFonts w:ascii="Garamond" w:hAnsi="Garamond"/>
          <w:sz w:val="24"/>
          <w:szCs w:val="24"/>
        </w:rPr>
      </w:pPr>
      <w:r>
        <w:rPr>
          <w:rFonts w:ascii="Garamond" w:hAnsi="Garamond"/>
          <w:sz w:val="24"/>
          <w:szCs w:val="24"/>
        </w:rPr>
        <w:t>Metode pengumpulan data dalam penelitian ini menggunakan metode kualitatif. Data yang digunakan adalah data sekunder yang terdiri dari tiga bahan hukum yaitu bahan hukum primer, bahan hukum sekunder dan tersier.</w:t>
      </w:r>
    </w:p>
    <w:p w:rsidR="0053678A" w:rsidRDefault="001057F2">
      <w:pPr>
        <w:pStyle w:val="BodyText"/>
        <w:ind w:firstLine="567"/>
        <w:rPr>
          <w:rFonts w:ascii="Garamond" w:hAnsi="Garamond"/>
          <w:sz w:val="24"/>
          <w:szCs w:val="24"/>
        </w:rPr>
      </w:pPr>
      <w:r>
        <w:rPr>
          <w:rFonts w:ascii="Garamond" w:hAnsi="Garamond"/>
          <w:sz w:val="24"/>
          <w:szCs w:val="24"/>
        </w:rPr>
        <w:t>Bahan hukum primer adalah bah</w:t>
      </w:r>
      <w:r>
        <w:rPr>
          <w:rFonts w:ascii="Garamond" w:hAnsi="Garamond"/>
          <w:sz w:val="24"/>
          <w:szCs w:val="24"/>
        </w:rPr>
        <w:t>an yang mengikat secara hukum.</w:t>
      </w:r>
      <w:r>
        <w:rPr>
          <w:rStyle w:val="FootnoteReference"/>
          <w:rFonts w:ascii="Garamond" w:hAnsi="Garamond"/>
          <w:sz w:val="24"/>
          <w:szCs w:val="24"/>
        </w:rPr>
        <w:footnoteReference w:id="10"/>
      </w:r>
      <w:r>
        <w:rPr>
          <w:rFonts w:ascii="Garamond" w:hAnsi="Garamond"/>
          <w:sz w:val="24"/>
          <w:szCs w:val="24"/>
        </w:rPr>
        <w:t xml:space="preserve"> Bahan hukum primer adalah bahan yang memiliki kewenangan hukum. Penelitian ini menggunakan UUSA sebagai bahan hukum primer.</w:t>
      </w:r>
    </w:p>
    <w:p w:rsidR="0053678A" w:rsidRDefault="001057F2">
      <w:pPr>
        <w:pStyle w:val="BodyText"/>
        <w:ind w:firstLine="567"/>
        <w:rPr>
          <w:rFonts w:ascii="Garamond" w:hAnsi="Garamond"/>
          <w:sz w:val="24"/>
          <w:szCs w:val="24"/>
        </w:rPr>
      </w:pPr>
      <w:r>
        <w:rPr>
          <w:rStyle w:val="alt-edited"/>
          <w:rFonts w:ascii="Garamond" w:hAnsi="Garamond"/>
          <w:sz w:val="24"/>
          <w:szCs w:val="24"/>
        </w:rPr>
        <w:t xml:space="preserve">Bahan hukum sekunder adalah bahan hukum yang terdiri dari buku-buku hukum yang meliputi skripsi, </w:t>
      </w:r>
      <w:r>
        <w:rPr>
          <w:rStyle w:val="alt-edited"/>
          <w:rFonts w:ascii="Garamond" w:hAnsi="Garamond"/>
          <w:sz w:val="24"/>
          <w:szCs w:val="24"/>
        </w:rPr>
        <w:t>disertasi, serta jurnal hukum.</w:t>
      </w:r>
      <w:r>
        <w:rPr>
          <w:rStyle w:val="FootnoteReference"/>
          <w:rFonts w:ascii="Garamond" w:hAnsi="Garamond"/>
          <w:sz w:val="24"/>
          <w:szCs w:val="24"/>
        </w:rPr>
        <w:footnoteReference w:id="11"/>
      </w:r>
      <w:r>
        <w:rPr>
          <w:rFonts w:ascii="Garamond" w:hAnsi="Garamond"/>
          <w:sz w:val="24"/>
          <w:szCs w:val="24"/>
        </w:rPr>
        <w:t xml:space="preserve"> Penelitian ini menggunakan buku hukum, jurnal hukum dan pendapat ahli hukum sebagai bahan hukum sekunder.</w:t>
      </w:r>
      <w:r>
        <w:rPr>
          <w:rFonts w:ascii="Garamond" w:hAnsi="Garamond"/>
          <w:szCs w:val="24"/>
        </w:rPr>
        <w:t xml:space="preserve"> </w:t>
      </w:r>
    </w:p>
    <w:p w:rsidR="0053678A" w:rsidRDefault="001057F2">
      <w:pPr>
        <w:pStyle w:val="BodyText"/>
        <w:spacing w:before="240" w:after="40" w:line="276" w:lineRule="auto"/>
        <w:ind w:firstLine="0"/>
        <w:rPr>
          <w:rFonts w:ascii="Garamond" w:hAnsi="Garamond"/>
          <w:b/>
          <w:sz w:val="28"/>
          <w:szCs w:val="28"/>
          <w:lang w:val="id-ID"/>
        </w:rPr>
      </w:pPr>
      <w:r>
        <w:rPr>
          <w:rFonts w:ascii="Garamond" w:hAnsi="Garamond"/>
          <w:b/>
          <w:sz w:val="28"/>
          <w:szCs w:val="28"/>
          <w:lang w:val="id-ID"/>
        </w:rPr>
        <w:t>HASIL DAN PEMBAHASAN</w:t>
      </w:r>
    </w:p>
    <w:p w:rsidR="0053678A" w:rsidRDefault="001057F2">
      <w:pPr>
        <w:pStyle w:val="BodyText"/>
        <w:spacing w:after="40"/>
        <w:ind w:firstLine="0"/>
        <w:rPr>
          <w:rFonts w:ascii="Garamond" w:hAnsi="Garamond"/>
          <w:b/>
          <w:bCs/>
          <w:color w:val="000000"/>
          <w:spacing w:val="0"/>
          <w:sz w:val="24"/>
          <w:szCs w:val="24"/>
        </w:rPr>
      </w:pPr>
      <w:r>
        <w:rPr>
          <w:rFonts w:ascii="Garamond" w:hAnsi="Garamond"/>
          <w:b/>
          <w:bCs/>
          <w:color w:val="000000"/>
          <w:spacing w:val="0"/>
          <w:sz w:val="24"/>
          <w:szCs w:val="24"/>
          <w:lang w:val="id-ID"/>
        </w:rPr>
        <w:t xml:space="preserve">Tradisi </w:t>
      </w:r>
      <w:r>
        <w:rPr>
          <w:rFonts w:ascii="Garamond" w:hAnsi="Garamond"/>
          <w:b/>
          <w:bCs/>
          <w:i/>
          <w:iCs/>
          <w:color w:val="000000"/>
          <w:spacing w:val="0"/>
          <w:sz w:val="24"/>
          <w:szCs w:val="24"/>
          <w:lang w:val="id-ID"/>
        </w:rPr>
        <w:t>Barambangan</w:t>
      </w:r>
      <w:r>
        <w:rPr>
          <w:rFonts w:ascii="Garamond" w:hAnsi="Garamond"/>
          <w:b/>
          <w:bCs/>
          <w:color w:val="000000"/>
          <w:spacing w:val="0"/>
          <w:sz w:val="24"/>
          <w:szCs w:val="24"/>
          <w:lang w:val="id-ID"/>
        </w:rPr>
        <w:t xml:space="preserve"> Sebagai Penc</w:t>
      </w:r>
      <w:r>
        <w:rPr>
          <w:rFonts w:ascii="Garamond" w:hAnsi="Garamond"/>
          <w:b/>
          <w:bCs/>
          <w:color w:val="000000"/>
          <w:spacing w:val="0"/>
          <w:sz w:val="24"/>
          <w:szCs w:val="24"/>
        </w:rPr>
        <w:t>egahan Kekerasan Terhadap Perempuan</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lang w:val="id-ID"/>
        </w:rPr>
        <w:t xml:space="preserve">Secara bahasa, </w:t>
      </w:r>
      <w:r>
        <w:rPr>
          <w:rFonts w:ascii="Garamond" w:hAnsi="Garamond"/>
          <w:i/>
          <w:iCs/>
          <w:color w:val="000000"/>
          <w:spacing w:val="0"/>
          <w:sz w:val="24"/>
          <w:szCs w:val="24"/>
          <w:lang w:val="id-ID"/>
        </w:rPr>
        <w:t>Barambangan</w:t>
      </w:r>
      <w:r>
        <w:rPr>
          <w:rFonts w:ascii="Garamond" w:hAnsi="Garamond"/>
          <w:color w:val="000000"/>
          <w:spacing w:val="0"/>
          <w:sz w:val="24"/>
          <w:szCs w:val="24"/>
          <w:lang w:val="id-ID"/>
        </w:rPr>
        <w:t xml:space="preserve"> berasal dari kata “rambang”, yaitu </w:t>
      </w:r>
      <w:r>
        <w:rPr>
          <w:rStyle w:val="fontstyle01"/>
          <w:rFonts w:ascii="Garamond" w:hAnsi="Garamond"/>
          <w:lang w:val="id-ID"/>
        </w:rPr>
        <w:t>keadaan</w:t>
      </w:r>
      <w:r>
        <w:rPr>
          <w:rStyle w:val="fontstyle01"/>
          <w:rFonts w:ascii="Garamond" w:hAnsi="Garamond"/>
        </w:rPr>
        <w:t xml:space="preserve"> </w:t>
      </w:r>
      <w:r>
        <w:rPr>
          <w:rStyle w:val="fontstyle01"/>
          <w:rFonts w:ascii="Garamond" w:hAnsi="Garamond"/>
          <w:lang w:val="id-ID"/>
        </w:rPr>
        <w:lastRenderedPageBreak/>
        <w:t>bimbang untuk memutuskan sebuah</w:t>
      </w:r>
      <w:r>
        <w:rPr>
          <w:rFonts w:ascii="Garamond" w:hAnsi="Garamond"/>
          <w:color w:val="000000"/>
          <w:sz w:val="24"/>
          <w:szCs w:val="24"/>
          <w:lang w:val="id-ID"/>
        </w:rPr>
        <w:t xml:space="preserve"> </w:t>
      </w:r>
      <w:r>
        <w:rPr>
          <w:rStyle w:val="fontstyle01"/>
          <w:rFonts w:ascii="Garamond" w:hAnsi="Garamond"/>
          <w:lang w:val="id-ID"/>
        </w:rPr>
        <w:t xml:space="preserve">perkawinan untuk bersatu kembali atau harus bercerai. </w:t>
      </w:r>
      <w:r>
        <w:rPr>
          <w:rStyle w:val="fontstyle01"/>
          <w:rFonts w:ascii="Garamond" w:hAnsi="Garamond"/>
        </w:rPr>
        <w:t xml:space="preserve">Secara istilah, </w:t>
      </w:r>
      <w:r>
        <w:rPr>
          <w:rStyle w:val="fontstyle01"/>
          <w:rFonts w:ascii="Garamond" w:hAnsi="Garamond"/>
          <w:i/>
          <w:iCs/>
        </w:rPr>
        <w:t>Barambangan</w:t>
      </w:r>
      <w:r>
        <w:rPr>
          <w:rStyle w:val="fontstyle01"/>
          <w:rFonts w:ascii="Garamond" w:hAnsi="Garamond"/>
        </w:rPr>
        <w:t xml:space="preserve"> adalah keadaan yang berada dalam posisi tengah tengah antara bersatu kembali atau</w:t>
      </w:r>
      <w:r>
        <w:rPr>
          <w:rFonts w:ascii="Garamond" w:hAnsi="Garamond"/>
          <w:color w:val="000000"/>
          <w:sz w:val="24"/>
          <w:szCs w:val="24"/>
        </w:rPr>
        <w:t xml:space="preserve"> </w:t>
      </w:r>
      <w:r>
        <w:rPr>
          <w:rStyle w:val="fontstyle01"/>
          <w:rFonts w:ascii="Garamond" w:hAnsi="Garamond"/>
        </w:rPr>
        <w:t>bercerai. Selain</w:t>
      </w:r>
      <w:r>
        <w:rPr>
          <w:rStyle w:val="fontstyle01"/>
          <w:rFonts w:ascii="Garamond" w:hAnsi="Garamond"/>
        </w:rPr>
        <w:t xml:space="preserve"> itu, </w:t>
      </w:r>
      <w:r>
        <w:rPr>
          <w:rStyle w:val="fontstyle01"/>
          <w:rFonts w:ascii="Garamond" w:hAnsi="Garamond"/>
          <w:i/>
          <w:iCs/>
        </w:rPr>
        <w:t>Barambangan</w:t>
      </w:r>
      <w:r>
        <w:rPr>
          <w:rStyle w:val="fontstyle01"/>
          <w:rFonts w:ascii="Garamond" w:hAnsi="Garamond"/>
        </w:rPr>
        <w:t xml:space="preserve"> juga dapat diartikan dengan </w:t>
      </w:r>
      <w:r>
        <w:rPr>
          <w:rFonts w:ascii="Garamond" w:hAnsi="Garamond"/>
          <w:color w:val="000000"/>
          <w:spacing w:val="0"/>
          <w:sz w:val="24"/>
          <w:szCs w:val="24"/>
        </w:rPr>
        <w:t>posisi renggang antara suami istri, karena hubungannya tidak akrab atau harmonis lagi, yang diakibatkan konflik kedua belak pihak atau ada orang ketiga.</w:t>
      </w:r>
      <w:r>
        <w:rPr>
          <w:rStyle w:val="FootnoteReference"/>
          <w:rFonts w:ascii="Garamond" w:hAnsi="Garamond"/>
          <w:color w:val="000000"/>
          <w:spacing w:val="0"/>
          <w:sz w:val="24"/>
          <w:szCs w:val="24"/>
        </w:rPr>
        <w:footnoteReference w:id="12"/>
      </w:r>
    </w:p>
    <w:p w:rsidR="0053678A" w:rsidRDefault="001057F2">
      <w:pPr>
        <w:pStyle w:val="BodyText"/>
        <w:spacing w:after="40"/>
        <w:ind w:firstLine="567"/>
        <w:rPr>
          <w:rFonts w:ascii="Garamond" w:hAnsi="Garamond"/>
          <w:color w:val="242021"/>
          <w:spacing w:val="0"/>
          <w:sz w:val="24"/>
          <w:szCs w:val="24"/>
        </w:rPr>
      </w:pPr>
      <w:r>
        <w:rPr>
          <w:rFonts w:ascii="Garamond" w:hAnsi="Garamond"/>
          <w:color w:val="000000"/>
          <w:spacing w:val="0"/>
          <w:sz w:val="24"/>
          <w:szCs w:val="24"/>
        </w:rPr>
        <w:t xml:space="preserve">Pengertian lain menyatakan </w:t>
      </w:r>
      <w:r>
        <w:rPr>
          <w:rFonts w:ascii="Garamond" w:hAnsi="Garamond"/>
          <w:i/>
          <w:iCs/>
          <w:color w:val="242021"/>
          <w:spacing w:val="0"/>
          <w:sz w:val="24"/>
          <w:szCs w:val="24"/>
        </w:rPr>
        <w:t xml:space="preserve">Barambangan </w:t>
      </w:r>
      <w:r>
        <w:rPr>
          <w:rFonts w:ascii="Garamond" w:hAnsi="Garamond"/>
          <w:color w:val="242021"/>
          <w:spacing w:val="0"/>
          <w:sz w:val="24"/>
          <w:szCs w:val="24"/>
        </w:rPr>
        <w:t>berarti bahwa sua</w:t>
      </w:r>
      <w:r>
        <w:rPr>
          <w:rFonts w:ascii="Garamond" w:hAnsi="Garamond"/>
          <w:color w:val="242021"/>
          <w:spacing w:val="0"/>
          <w:sz w:val="24"/>
          <w:szCs w:val="24"/>
        </w:rPr>
        <w:t>mi istri itu belum resmi bercerai tetapi baru berpisah tempat tinggal. Biasanya si istri pulang ke rumah orang tuanya dan suami tetap tinggal di rumahnya. Apabila terjadi hal semacam ini maka suami tidak boleh memegang atau bersentuhan dengan istrinya sebe</w:t>
      </w:r>
      <w:r>
        <w:rPr>
          <w:rFonts w:ascii="Garamond" w:hAnsi="Garamond"/>
          <w:color w:val="242021"/>
          <w:spacing w:val="0"/>
          <w:sz w:val="24"/>
          <w:szCs w:val="24"/>
        </w:rPr>
        <w:t>lum ada kesepakatan rujuk.</w:t>
      </w:r>
      <w:r>
        <w:rPr>
          <w:rStyle w:val="FootnoteReference"/>
          <w:rFonts w:ascii="Garamond" w:hAnsi="Garamond"/>
          <w:color w:val="242021"/>
          <w:spacing w:val="0"/>
          <w:sz w:val="24"/>
          <w:szCs w:val="24"/>
        </w:rPr>
        <w:footnoteReference w:id="13"/>
      </w:r>
    </w:p>
    <w:p w:rsidR="0053678A" w:rsidRDefault="001057F2">
      <w:pPr>
        <w:pStyle w:val="BodyText"/>
        <w:spacing w:after="40"/>
        <w:ind w:firstLine="567"/>
        <w:rPr>
          <w:rFonts w:ascii="Garamond" w:hAnsi="Garamond"/>
          <w:color w:val="242021"/>
          <w:spacing w:val="0"/>
          <w:sz w:val="24"/>
          <w:szCs w:val="24"/>
        </w:rPr>
      </w:pPr>
      <w:r>
        <w:rPr>
          <w:rFonts w:ascii="Garamond" w:hAnsi="Garamond"/>
          <w:color w:val="242021"/>
          <w:spacing w:val="0"/>
          <w:sz w:val="24"/>
          <w:szCs w:val="24"/>
        </w:rPr>
        <w:t xml:space="preserve">Beberapa pengertian tentang </w:t>
      </w:r>
      <w:r>
        <w:rPr>
          <w:rFonts w:ascii="Garamond" w:hAnsi="Garamond"/>
          <w:i/>
          <w:iCs/>
          <w:color w:val="242021"/>
          <w:spacing w:val="0"/>
          <w:sz w:val="24"/>
          <w:szCs w:val="24"/>
        </w:rPr>
        <w:t>Barambangan</w:t>
      </w:r>
      <w:r>
        <w:rPr>
          <w:rFonts w:ascii="Garamond" w:hAnsi="Garamond"/>
          <w:color w:val="242021"/>
          <w:spacing w:val="0"/>
          <w:sz w:val="24"/>
          <w:szCs w:val="24"/>
        </w:rPr>
        <w:t xml:space="preserve"> di atas mengarah ke satu titik temu. Bahwa </w:t>
      </w:r>
      <w:r>
        <w:rPr>
          <w:rFonts w:ascii="Garamond" w:hAnsi="Garamond"/>
          <w:i/>
          <w:iCs/>
          <w:color w:val="242021"/>
          <w:spacing w:val="0"/>
          <w:sz w:val="24"/>
          <w:szCs w:val="24"/>
        </w:rPr>
        <w:t>Barambangan</w:t>
      </w:r>
      <w:r>
        <w:rPr>
          <w:rFonts w:ascii="Garamond" w:hAnsi="Garamond"/>
          <w:color w:val="242021"/>
          <w:spacing w:val="0"/>
          <w:sz w:val="24"/>
          <w:szCs w:val="24"/>
        </w:rPr>
        <w:t xml:space="preserve"> merupakan suatu keadaan yang terjadi akibat konflik antara suami istri, sehingga mereka berpisah tempat tinggal dan tidak </w:t>
      </w:r>
      <w:r>
        <w:rPr>
          <w:rFonts w:ascii="Garamond" w:hAnsi="Garamond"/>
          <w:color w:val="242021"/>
          <w:spacing w:val="0"/>
          <w:sz w:val="24"/>
          <w:szCs w:val="24"/>
        </w:rPr>
        <w:t>berinteraksi satu sama lain.</w:t>
      </w:r>
    </w:p>
    <w:p w:rsidR="0053678A" w:rsidRDefault="001057F2">
      <w:pPr>
        <w:pStyle w:val="BodyText"/>
        <w:spacing w:after="40"/>
        <w:ind w:firstLine="567"/>
        <w:rPr>
          <w:rFonts w:ascii="Garamond" w:hAnsi="Garamond"/>
          <w:color w:val="000000"/>
          <w:spacing w:val="0"/>
          <w:sz w:val="24"/>
          <w:szCs w:val="24"/>
        </w:rPr>
      </w:pPr>
      <w:r>
        <w:rPr>
          <w:rFonts w:ascii="Garamond" w:hAnsi="Garamond"/>
          <w:color w:val="242021"/>
          <w:spacing w:val="0"/>
          <w:sz w:val="24"/>
          <w:szCs w:val="24"/>
        </w:rPr>
        <w:t xml:space="preserve">Tradisi </w:t>
      </w:r>
      <w:r>
        <w:rPr>
          <w:rFonts w:ascii="Garamond" w:hAnsi="Garamond"/>
          <w:i/>
          <w:iCs/>
          <w:color w:val="242021"/>
          <w:spacing w:val="0"/>
          <w:sz w:val="24"/>
          <w:szCs w:val="24"/>
        </w:rPr>
        <w:t>Barambangan</w:t>
      </w:r>
      <w:r>
        <w:rPr>
          <w:rFonts w:ascii="Garamond" w:hAnsi="Garamond"/>
          <w:color w:val="242021"/>
          <w:spacing w:val="0"/>
          <w:sz w:val="24"/>
          <w:szCs w:val="24"/>
        </w:rPr>
        <w:t xml:space="preserve"> ini bersumber dari </w:t>
      </w:r>
      <w:r>
        <w:rPr>
          <w:rFonts w:ascii="Garamond" w:hAnsi="Garamond"/>
          <w:color w:val="000000"/>
          <w:spacing w:val="0"/>
          <w:sz w:val="24"/>
          <w:szCs w:val="24"/>
        </w:rPr>
        <w:t xml:space="preserve">(UUSA) perkara 18. UUSA merupakan produk hukum adat yang tertulis. Undang-undang ini menerapkan hukum Islam di </w:t>
      </w:r>
      <w:r>
        <w:rPr>
          <w:rFonts w:ascii="Garamond" w:hAnsi="Garamond"/>
          <w:color w:val="000000"/>
          <w:spacing w:val="0"/>
          <w:sz w:val="24"/>
          <w:szCs w:val="24"/>
        </w:rPr>
        <w:lastRenderedPageBreak/>
        <w:t>tanah Banjar.</w:t>
      </w:r>
      <w:r>
        <w:rPr>
          <w:rStyle w:val="FootnoteReference"/>
          <w:rFonts w:ascii="Garamond" w:hAnsi="Garamond"/>
          <w:color w:val="000000"/>
          <w:spacing w:val="0"/>
          <w:sz w:val="24"/>
          <w:szCs w:val="24"/>
        </w:rPr>
        <w:footnoteReference w:id="14"/>
      </w:r>
      <w:r>
        <w:rPr>
          <w:rFonts w:ascii="Garamond" w:hAnsi="Garamond"/>
          <w:color w:val="000000"/>
          <w:spacing w:val="0"/>
          <w:sz w:val="24"/>
          <w:szCs w:val="24"/>
        </w:rPr>
        <w:t xml:space="preserve"> UUSA berlaku sejak ditetapkan oleh Sultan Adam Al-Watsiq Billa</w:t>
      </w:r>
      <w:r>
        <w:rPr>
          <w:rFonts w:ascii="Garamond" w:hAnsi="Garamond"/>
          <w:color w:val="000000"/>
          <w:spacing w:val="0"/>
          <w:sz w:val="24"/>
          <w:szCs w:val="24"/>
        </w:rPr>
        <w:t>h sebagai Raja Kesultanan Banjar (1825-1827 M) pada hari Kamis tanggal 15 Muharram 1251 H.</w:t>
      </w:r>
      <w:r>
        <w:rPr>
          <w:rStyle w:val="FootnoteReference"/>
          <w:rFonts w:ascii="Garamond" w:hAnsi="Garamond"/>
          <w:color w:val="000000"/>
          <w:spacing w:val="0"/>
          <w:sz w:val="24"/>
          <w:szCs w:val="24"/>
        </w:rPr>
        <w:footnoteReference w:id="15"/>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Van Vollenhoven (1874-1933) sebagai pakar hukum adat mengungkapkan bahwa sumber-sumber hukum adat (</w:t>
      </w:r>
      <w:r>
        <w:rPr>
          <w:rFonts w:ascii="Garamond" w:hAnsi="Garamond"/>
          <w:i/>
          <w:iCs/>
          <w:color w:val="000000"/>
          <w:spacing w:val="0"/>
          <w:sz w:val="24"/>
          <w:szCs w:val="24"/>
        </w:rPr>
        <w:t xml:space="preserve">Vindplaatsen van het adatrecht), </w:t>
      </w:r>
      <w:r>
        <w:rPr>
          <w:rFonts w:ascii="Garamond" w:hAnsi="Garamond"/>
          <w:color w:val="000000"/>
          <w:spacing w:val="0"/>
          <w:sz w:val="24"/>
          <w:szCs w:val="24"/>
        </w:rPr>
        <w:t>salah satu diantaranya adalah  p</w:t>
      </w:r>
      <w:r>
        <w:rPr>
          <w:rFonts w:ascii="Garamond" w:hAnsi="Garamond"/>
          <w:color w:val="000000"/>
          <w:spacing w:val="0"/>
          <w:sz w:val="24"/>
          <w:szCs w:val="24"/>
        </w:rPr>
        <w:t>eraturan para Raja dan kepala kemasyarakatan (</w:t>
      </w:r>
      <w:r>
        <w:rPr>
          <w:rFonts w:ascii="Garamond" w:hAnsi="Garamond"/>
          <w:i/>
          <w:iCs/>
          <w:color w:val="000000"/>
          <w:spacing w:val="0"/>
          <w:sz w:val="24"/>
          <w:szCs w:val="24"/>
        </w:rPr>
        <w:t>Verordeningen van vorsten en hoefden</w:t>
      </w:r>
      <w:r>
        <w:rPr>
          <w:rFonts w:ascii="Garamond" w:hAnsi="Garamond"/>
          <w:color w:val="000000"/>
          <w:spacing w:val="0"/>
          <w:sz w:val="24"/>
          <w:szCs w:val="24"/>
        </w:rPr>
        <w:t>). Peraturan para Raja dan kepala kemasyarakatan ini kemudian disebut sengan "</w:t>
      </w:r>
      <w:r>
        <w:rPr>
          <w:rFonts w:ascii="Garamond" w:hAnsi="Garamond"/>
          <w:i/>
          <w:iCs/>
          <w:color w:val="000000"/>
          <w:spacing w:val="0"/>
          <w:sz w:val="24"/>
          <w:szCs w:val="24"/>
        </w:rPr>
        <w:t>geshreven adatrecht</w:t>
      </w:r>
      <w:r>
        <w:rPr>
          <w:rFonts w:ascii="Garamond" w:hAnsi="Garamond"/>
          <w:color w:val="000000"/>
          <w:spacing w:val="0"/>
          <w:sz w:val="24"/>
          <w:szCs w:val="24"/>
        </w:rPr>
        <w:t>" atau "hukum adat tersurat”, sebagai lawan dari "</w:t>
      </w:r>
      <w:r>
        <w:rPr>
          <w:rFonts w:ascii="Garamond" w:hAnsi="Garamond"/>
          <w:i/>
          <w:iCs/>
          <w:color w:val="000000"/>
          <w:spacing w:val="0"/>
          <w:sz w:val="24"/>
          <w:szCs w:val="24"/>
        </w:rPr>
        <w:t>ongeschreven adatrecht</w:t>
      </w:r>
      <w:r>
        <w:rPr>
          <w:rFonts w:ascii="Garamond" w:hAnsi="Garamond"/>
          <w:color w:val="000000"/>
          <w:spacing w:val="0"/>
          <w:sz w:val="24"/>
          <w:szCs w:val="24"/>
        </w:rPr>
        <w:t>" ata</w:t>
      </w:r>
      <w:r>
        <w:rPr>
          <w:rFonts w:ascii="Garamond" w:hAnsi="Garamond"/>
          <w:color w:val="000000"/>
          <w:spacing w:val="0"/>
          <w:sz w:val="24"/>
          <w:szCs w:val="24"/>
        </w:rPr>
        <w:t>u “hukum adat yang tidak tertulis”.</w:t>
      </w:r>
      <w:r>
        <w:rPr>
          <w:rStyle w:val="FootnoteReference"/>
          <w:rFonts w:ascii="Garamond" w:hAnsi="Garamond"/>
          <w:color w:val="000000"/>
          <w:spacing w:val="0"/>
          <w:sz w:val="24"/>
          <w:szCs w:val="24"/>
        </w:rPr>
        <w:footnoteReference w:id="16"/>
      </w:r>
      <w:r>
        <w:rPr>
          <w:rFonts w:ascii="Garamond" w:hAnsi="Garamond"/>
          <w:color w:val="000000"/>
          <w:spacing w:val="0"/>
          <w:sz w:val="24"/>
          <w:szCs w:val="24"/>
        </w:rPr>
        <w:t xml:space="preserve"> </w:t>
      </w:r>
      <w:r>
        <w:rPr>
          <w:rFonts w:ascii="Garamond" w:hAnsi="Garamond"/>
          <w:i/>
          <w:iCs/>
          <w:color w:val="000000"/>
          <w:spacing w:val="0"/>
          <w:sz w:val="24"/>
          <w:szCs w:val="24"/>
        </w:rPr>
        <w:t>Barambangan</w:t>
      </w:r>
      <w:r>
        <w:rPr>
          <w:rFonts w:ascii="Garamond" w:hAnsi="Garamond"/>
          <w:color w:val="000000"/>
          <w:spacing w:val="0"/>
          <w:sz w:val="24"/>
          <w:szCs w:val="24"/>
        </w:rPr>
        <w:t xml:space="preserve"> termasuk salah satu hukum adat masyarakat Banjar. Hal itu karena aturan </w:t>
      </w:r>
      <w:r>
        <w:rPr>
          <w:rFonts w:ascii="Garamond" w:hAnsi="Garamond"/>
          <w:i/>
          <w:iCs/>
          <w:color w:val="000000"/>
          <w:spacing w:val="0"/>
          <w:sz w:val="24"/>
          <w:szCs w:val="24"/>
        </w:rPr>
        <w:t>Barambangan</w:t>
      </w:r>
      <w:r>
        <w:rPr>
          <w:rFonts w:ascii="Garamond" w:hAnsi="Garamond"/>
          <w:color w:val="000000"/>
          <w:spacing w:val="0"/>
          <w:sz w:val="24"/>
          <w:szCs w:val="24"/>
        </w:rPr>
        <w:t xml:space="preserve"> ini bersumber dari UUSA yang merupakan peraturan raja Banjar sejak masa Sultan Adam.</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Perkara 18 UUSA yang memuat aturan </w:t>
      </w:r>
      <w:r>
        <w:rPr>
          <w:rFonts w:ascii="Garamond" w:hAnsi="Garamond"/>
          <w:i/>
          <w:iCs/>
          <w:color w:val="000000"/>
          <w:spacing w:val="0"/>
          <w:sz w:val="24"/>
          <w:szCs w:val="24"/>
        </w:rPr>
        <w:t>Bar</w:t>
      </w:r>
      <w:r>
        <w:rPr>
          <w:rFonts w:ascii="Garamond" w:hAnsi="Garamond"/>
          <w:i/>
          <w:iCs/>
          <w:color w:val="000000"/>
          <w:spacing w:val="0"/>
          <w:sz w:val="24"/>
          <w:szCs w:val="24"/>
        </w:rPr>
        <w:t>ambangan</w:t>
      </w:r>
      <w:r>
        <w:rPr>
          <w:rFonts w:ascii="Garamond" w:hAnsi="Garamond"/>
          <w:color w:val="000000"/>
          <w:spacing w:val="0"/>
          <w:sz w:val="24"/>
          <w:szCs w:val="24"/>
        </w:rPr>
        <w:t xml:space="preserve"> berbunyi sebagai berikut;</w:t>
      </w:r>
    </w:p>
    <w:p w:rsidR="0053678A" w:rsidRDefault="001057F2">
      <w:pPr>
        <w:pStyle w:val="BodyText"/>
        <w:spacing w:after="40"/>
        <w:ind w:firstLine="567"/>
        <w:rPr>
          <w:rFonts w:ascii="Garamond" w:hAnsi="Garamond"/>
          <w:color w:val="000000"/>
          <w:spacing w:val="0"/>
          <w:sz w:val="24"/>
          <w:szCs w:val="24"/>
        </w:rPr>
      </w:pPr>
      <w:r>
        <w:rPr>
          <w:rFonts w:ascii="Garamond" w:hAnsi="Garamond"/>
          <w:i/>
          <w:iCs/>
          <w:color w:val="000000"/>
          <w:spacing w:val="0"/>
          <w:sz w:val="24"/>
          <w:szCs w:val="24"/>
        </w:rPr>
        <w:t xml:space="preserve">Mana-mana orang jang Barambangan laki bini sebab perbantahan atau lainnja tiada koebarikan itoe lakinja mamegang bininja hanja koesoeroeh segala berkebaikan maka hakim serta karabat kadoea pihak keosoeroeh mamadahi dan </w:t>
      </w:r>
      <w:r>
        <w:rPr>
          <w:rFonts w:ascii="Garamond" w:hAnsi="Garamond"/>
          <w:i/>
          <w:iCs/>
          <w:color w:val="000000"/>
          <w:spacing w:val="0"/>
          <w:sz w:val="24"/>
          <w:szCs w:val="24"/>
        </w:rPr>
        <w:lastRenderedPageBreak/>
        <w:t>me</w:t>
      </w:r>
      <w:r>
        <w:rPr>
          <w:rFonts w:ascii="Garamond" w:hAnsi="Garamond"/>
          <w:i/>
          <w:iCs/>
          <w:color w:val="000000"/>
          <w:spacing w:val="0"/>
          <w:sz w:val="24"/>
          <w:szCs w:val="24"/>
        </w:rPr>
        <w:t>mbaikkan dan apa-apa kasalahan kadoea pihak dan apabila anggan menoeroet hoekoem dan adat serta sangat hadjat minta baikkan pada hal perampoean itoe keras tiada maoe berkabaikan lagi maka padahkan kajah diakoe</w:t>
      </w:r>
      <w:r>
        <w:rPr>
          <w:rFonts w:ascii="Garamond" w:hAnsi="Garamond"/>
          <w:color w:val="000000"/>
          <w:spacing w:val="0"/>
          <w:sz w:val="24"/>
          <w:szCs w:val="24"/>
        </w:rPr>
        <w:t>.</w:t>
      </w:r>
      <w:r>
        <w:rPr>
          <w:rStyle w:val="FootnoteReference"/>
          <w:rFonts w:ascii="Garamond" w:hAnsi="Garamond"/>
          <w:color w:val="000000"/>
          <w:spacing w:val="0"/>
          <w:sz w:val="24"/>
          <w:szCs w:val="24"/>
        </w:rPr>
        <w:footnoteReference w:id="17"/>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Diktum pertama aturan </w:t>
      </w:r>
      <w:r>
        <w:rPr>
          <w:rFonts w:ascii="Garamond" w:hAnsi="Garamond"/>
          <w:i/>
          <w:iCs/>
          <w:color w:val="000000"/>
          <w:spacing w:val="0"/>
          <w:sz w:val="24"/>
          <w:szCs w:val="24"/>
        </w:rPr>
        <w:t>Barambangan</w:t>
      </w:r>
      <w:r>
        <w:rPr>
          <w:rFonts w:ascii="Garamond" w:hAnsi="Garamond"/>
          <w:color w:val="000000"/>
          <w:spacing w:val="0"/>
          <w:sz w:val="24"/>
          <w:szCs w:val="24"/>
        </w:rPr>
        <w:t xml:space="preserve"> dalam perk</w:t>
      </w:r>
      <w:r>
        <w:rPr>
          <w:rFonts w:ascii="Garamond" w:hAnsi="Garamond"/>
          <w:color w:val="000000"/>
          <w:spacing w:val="0"/>
          <w:sz w:val="24"/>
          <w:szCs w:val="24"/>
        </w:rPr>
        <w:t>ara 18 UUSA ini berbunyi bahwa “</w:t>
      </w:r>
      <w:r>
        <w:rPr>
          <w:rFonts w:ascii="Garamond" w:hAnsi="Garamond"/>
          <w:i/>
          <w:iCs/>
          <w:color w:val="000000"/>
          <w:spacing w:val="0"/>
          <w:sz w:val="24"/>
          <w:szCs w:val="24"/>
        </w:rPr>
        <w:t xml:space="preserve">Mana-mana orang jang Barambangan laki bini sebab perbantahan atau lainnja”. </w:t>
      </w:r>
      <w:r>
        <w:rPr>
          <w:rFonts w:ascii="Garamond" w:hAnsi="Garamond"/>
          <w:color w:val="000000"/>
          <w:spacing w:val="0"/>
          <w:sz w:val="24"/>
          <w:szCs w:val="24"/>
        </w:rPr>
        <w:t xml:space="preserve">Hal ini sudah jelas bahwa sebab terjadinya kondisi </w:t>
      </w:r>
      <w:r>
        <w:rPr>
          <w:rFonts w:ascii="Garamond" w:hAnsi="Garamond"/>
          <w:i/>
          <w:iCs/>
          <w:color w:val="000000"/>
          <w:spacing w:val="0"/>
          <w:sz w:val="24"/>
          <w:szCs w:val="24"/>
        </w:rPr>
        <w:t>Barambangan</w:t>
      </w:r>
      <w:r>
        <w:rPr>
          <w:rFonts w:ascii="Garamond" w:hAnsi="Garamond"/>
          <w:color w:val="000000"/>
          <w:spacing w:val="0"/>
          <w:sz w:val="24"/>
          <w:szCs w:val="24"/>
        </w:rPr>
        <w:t xml:space="preserve"> karena adanya saling berbantah antara suami istri baik itu berbentuk penelantaran, an</w:t>
      </w:r>
      <w:r>
        <w:rPr>
          <w:rFonts w:ascii="Garamond" w:hAnsi="Garamond"/>
          <w:color w:val="000000"/>
          <w:spacing w:val="0"/>
          <w:sz w:val="24"/>
          <w:szCs w:val="24"/>
        </w:rPr>
        <w:t>caman, sumpah, pukulan, hingga pelecehan. Selain itu, kata “</w:t>
      </w:r>
      <w:r>
        <w:rPr>
          <w:rFonts w:ascii="Garamond" w:hAnsi="Garamond"/>
          <w:i/>
          <w:iCs/>
          <w:color w:val="000000"/>
          <w:spacing w:val="0"/>
          <w:sz w:val="24"/>
          <w:szCs w:val="24"/>
        </w:rPr>
        <w:t xml:space="preserve">atau lainnja” </w:t>
      </w:r>
      <w:r>
        <w:rPr>
          <w:rFonts w:ascii="Garamond" w:hAnsi="Garamond"/>
          <w:color w:val="000000"/>
          <w:spacing w:val="0"/>
          <w:sz w:val="24"/>
          <w:szCs w:val="24"/>
        </w:rPr>
        <w:t xml:space="preserve">ini dapat berarti bahwa  kondisi </w:t>
      </w:r>
      <w:r>
        <w:rPr>
          <w:rFonts w:ascii="Garamond" w:hAnsi="Garamond"/>
          <w:i/>
          <w:iCs/>
          <w:color w:val="000000"/>
          <w:spacing w:val="0"/>
          <w:sz w:val="24"/>
          <w:szCs w:val="24"/>
        </w:rPr>
        <w:t>Barambangan</w:t>
      </w:r>
      <w:r>
        <w:rPr>
          <w:rFonts w:ascii="Garamond" w:hAnsi="Garamond"/>
          <w:color w:val="000000"/>
          <w:spacing w:val="0"/>
          <w:sz w:val="24"/>
          <w:szCs w:val="24"/>
        </w:rPr>
        <w:t xml:space="preserve"> ini bisa terjadi karena adanya saling berbantah selain antara suami istri. Seperti saling berbantah antara suami dan mertua, atau sebalik</w:t>
      </w:r>
      <w:r>
        <w:rPr>
          <w:rFonts w:ascii="Garamond" w:hAnsi="Garamond"/>
          <w:color w:val="000000"/>
          <w:spacing w:val="0"/>
          <w:sz w:val="24"/>
          <w:szCs w:val="24"/>
        </w:rPr>
        <w:t>nya.</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Diktum pertama ini menunjukkan bahwa </w:t>
      </w:r>
      <w:r>
        <w:rPr>
          <w:rFonts w:ascii="Garamond" w:hAnsi="Garamond"/>
          <w:i/>
          <w:iCs/>
          <w:color w:val="000000"/>
          <w:spacing w:val="0"/>
          <w:sz w:val="24"/>
          <w:szCs w:val="24"/>
        </w:rPr>
        <w:t>Barambangan</w:t>
      </w:r>
      <w:r>
        <w:rPr>
          <w:rFonts w:ascii="Garamond" w:hAnsi="Garamond"/>
          <w:color w:val="000000"/>
          <w:spacing w:val="0"/>
          <w:sz w:val="24"/>
          <w:szCs w:val="24"/>
        </w:rPr>
        <w:t xml:space="preserve"> merupakan sebuah tradisi untuk mencegah terjadinya kekerasan terhadap perempuan. Sebagaimana telah dijelaskan bahwa kondisi </w:t>
      </w:r>
      <w:r>
        <w:rPr>
          <w:rFonts w:ascii="Garamond" w:hAnsi="Garamond"/>
          <w:i/>
          <w:iCs/>
          <w:color w:val="000000"/>
          <w:spacing w:val="0"/>
          <w:sz w:val="24"/>
          <w:szCs w:val="24"/>
        </w:rPr>
        <w:t>Barambangan</w:t>
      </w:r>
      <w:r>
        <w:rPr>
          <w:rFonts w:ascii="Garamond" w:hAnsi="Garamond"/>
          <w:color w:val="000000"/>
          <w:spacing w:val="0"/>
          <w:sz w:val="24"/>
          <w:szCs w:val="24"/>
        </w:rPr>
        <w:t xml:space="preserve"> ada karena adanya saling berbantahan antara suami istri. Sehingga </w:t>
      </w:r>
      <w:r>
        <w:rPr>
          <w:rFonts w:ascii="Garamond" w:hAnsi="Garamond"/>
          <w:color w:val="000000"/>
          <w:spacing w:val="0"/>
          <w:sz w:val="24"/>
          <w:szCs w:val="24"/>
        </w:rPr>
        <w:t xml:space="preserve">dengan adanya </w:t>
      </w:r>
      <w:r>
        <w:rPr>
          <w:rFonts w:ascii="Garamond" w:hAnsi="Garamond"/>
          <w:i/>
          <w:iCs/>
          <w:color w:val="000000"/>
          <w:spacing w:val="0"/>
          <w:sz w:val="24"/>
          <w:szCs w:val="24"/>
        </w:rPr>
        <w:t>Barambangan</w:t>
      </w:r>
      <w:r>
        <w:rPr>
          <w:rFonts w:ascii="Garamond" w:hAnsi="Garamond"/>
          <w:color w:val="000000"/>
          <w:spacing w:val="0"/>
          <w:sz w:val="24"/>
          <w:szCs w:val="24"/>
        </w:rPr>
        <w:t xml:space="preserve">, dapat mencegah terjadinya kekerasan akibat saling berbantah sekaligus melindungi objek yang </w:t>
      </w:r>
      <w:r>
        <w:rPr>
          <w:rFonts w:ascii="Garamond" w:hAnsi="Garamond"/>
          <w:color w:val="000000"/>
          <w:spacing w:val="0"/>
          <w:sz w:val="24"/>
          <w:szCs w:val="24"/>
        </w:rPr>
        <w:lastRenderedPageBreak/>
        <w:t>akan menjadi korban. Hal ini sejalan dengan teori perlindungan hukum.</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Bentuk perlindungan hukum secara teoritis dapat dibagi menjadi dua,</w:t>
      </w:r>
      <w:r>
        <w:rPr>
          <w:rFonts w:ascii="Garamond" w:hAnsi="Garamond"/>
          <w:color w:val="000000"/>
          <w:spacing w:val="0"/>
          <w:sz w:val="24"/>
          <w:szCs w:val="24"/>
        </w:rPr>
        <w:t xml:space="preserve"> yaitu perlindungan yang bersifat preventif dan refresif. Perlindungan preventif  merupakan perlindungan hukum yang sifatnya pencegahan. Sedangkan perlindungan refresif adalah perlindungan hukum yang berfungsi untuk menyelesaikan apabila terjadi sengketa.</w:t>
      </w:r>
      <w:r>
        <w:rPr>
          <w:rStyle w:val="FootnoteReference"/>
          <w:rFonts w:ascii="Garamond" w:hAnsi="Garamond"/>
          <w:color w:val="000000"/>
          <w:spacing w:val="0"/>
          <w:sz w:val="24"/>
          <w:szCs w:val="24"/>
        </w:rPr>
        <w:footnoteReference w:id="18"/>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Dalam hal ini, tradisi </w:t>
      </w:r>
      <w:r>
        <w:rPr>
          <w:rFonts w:ascii="Garamond" w:hAnsi="Garamond"/>
          <w:i/>
          <w:iCs/>
          <w:color w:val="000000"/>
          <w:spacing w:val="0"/>
          <w:sz w:val="24"/>
          <w:szCs w:val="24"/>
        </w:rPr>
        <w:t>Barambangan</w:t>
      </w:r>
      <w:r>
        <w:rPr>
          <w:rFonts w:ascii="Garamond" w:hAnsi="Garamond"/>
          <w:color w:val="000000"/>
          <w:spacing w:val="0"/>
          <w:sz w:val="24"/>
          <w:szCs w:val="24"/>
        </w:rPr>
        <w:t xml:space="preserve"> yang termuat dalam UUSA ini adalah merupakan bentuk perlindungan hukum yang bersifat preventive. Karena tradisi </w:t>
      </w:r>
      <w:r>
        <w:rPr>
          <w:rFonts w:ascii="Garamond" w:hAnsi="Garamond"/>
          <w:i/>
          <w:iCs/>
          <w:color w:val="000000"/>
          <w:spacing w:val="0"/>
          <w:sz w:val="24"/>
          <w:szCs w:val="24"/>
        </w:rPr>
        <w:t>Barambangan</w:t>
      </w:r>
      <w:r>
        <w:rPr>
          <w:rFonts w:ascii="Garamond" w:hAnsi="Garamond"/>
          <w:color w:val="000000"/>
          <w:spacing w:val="0"/>
          <w:sz w:val="24"/>
          <w:szCs w:val="24"/>
        </w:rPr>
        <w:t xml:space="preserve"> ini mencegah terjadinya kekerasan akibat saling berbantah antara suami istri atau lainnya.</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Dalam</w:t>
      </w:r>
      <w:r>
        <w:rPr>
          <w:rFonts w:ascii="Garamond" w:hAnsi="Garamond"/>
          <w:color w:val="000000"/>
          <w:spacing w:val="0"/>
          <w:sz w:val="24"/>
          <w:szCs w:val="24"/>
        </w:rPr>
        <w:t xml:space="preserve"> pandangan lain, Roscou Pound, dengan </w:t>
      </w:r>
      <w:r>
        <w:rPr>
          <w:rFonts w:ascii="Garamond" w:hAnsi="Garamond"/>
          <w:i/>
          <w:iCs/>
          <w:color w:val="000000"/>
          <w:spacing w:val="0"/>
          <w:sz w:val="24"/>
          <w:szCs w:val="24"/>
        </w:rPr>
        <w:t>law as tool of social engginering</w:t>
      </w:r>
      <w:r>
        <w:rPr>
          <w:rFonts w:ascii="Garamond" w:hAnsi="Garamond"/>
          <w:color w:val="000000"/>
          <w:spacing w:val="0"/>
          <w:sz w:val="24"/>
          <w:szCs w:val="24"/>
        </w:rPr>
        <w:t>nya menyatakan bahwa kepentingan manusia adalah suatu tuntutan yang dilindungi dan dipenuhi manusia dalam bidang hukum. Artinya, hukum sebagai alat rekayasa social harus dapat melindung</w:t>
      </w:r>
      <w:r>
        <w:rPr>
          <w:rFonts w:ascii="Garamond" w:hAnsi="Garamond"/>
          <w:color w:val="000000"/>
          <w:spacing w:val="0"/>
          <w:sz w:val="24"/>
          <w:szCs w:val="24"/>
        </w:rPr>
        <w:t>i kepentingan manusia.</w:t>
      </w:r>
      <w:r>
        <w:rPr>
          <w:rStyle w:val="FootnoteReference"/>
          <w:rFonts w:ascii="Garamond" w:hAnsi="Garamond"/>
          <w:color w:val="000000"/>
          <w:spacing w:val="0"/>
          <w:sz w:val="24"/>
          <w:szCs w:val="24"/>
        </w:rPr>
        <w:footnoteReference w:id="19"/>
      </w:r>
      <w:r>
        <w:rPr>
          <w:rFonts w:ascii="Garamond" w:hAnsi="Garamond"/>
          <w:color w:val="000000"/>
          <w:spacing w:val="0"/>
          <w:sz w:val="24"/>
          <w:szCs w:val="24"/>
        </w:rPr>
        <w:t xml:space="preserve"> Tradisi </w:t>
      </w:r>
      <w:r>
        <w:rPr>
          <w:rFonts w:ascii="Garamond" w:hAnsi="Garamond"/>
          <w:i/>
          <w:iCs/>
          <w:color w:val="000000"/>
          <w:spacing w:val="0"/>
          <w:sz w:val="24"/>
          <w:szCs w:val="24"/>
        </w:rPr>
        <w:t>Barambangan</w:t>
      </w:r>
      <w:r>
        <w:rPr>
          <w:rFonts w:ascii="Garamond" w:hAnsi="Garamond"/>
          <w:color w:val="000000"/>
          <w:spacing w:val="0"/>
          <w:sz w:val="24"/>
          <w:szCs w:val="24"/>
        </w:rPr>
        <w:t xml:space="preserve"> dalam hal ini ingin melindungi kepentingan individual manusia dalam ikatan perkawinan. Sehingga suami istri yang sedang dalam kondisi </w:t>
      </w:r>
      <w:r>
        <w:rPr>
          <w:rFonts w:ascii="Garamond" w:hAnsi="Garamond"/>
          <w:i/>
          <w:iCs/>
          <w:color w:val="000000"/>
          <w:spacing w:val="0"/>
          <w:sz w:val="24"/>
          <w:szCs w:val="24"/>
        </w:rPr>
        <w:t>Barambangan</w:t>
      </w:r>
      <w:r>
        <w:rPr>
          <w:rFonts w:ascii="Garamond" w:hAnsi="Garamond"/>
          <w:color w:val="000000"/>
          <w:spacing w:val="0"/>
          <w:sz w:val="24"/>
          <w:szCs w:val="24"/>
        </w:rPr>
        <w:t xml:space="preserve"> </w:t>
      </w:r>
      <w:r>
        <w:rPr>
          <w:rFonts w:ascii="Garamond" w:hAnsi="Garamond"/>
          <w:color w:val="000000"/>
          <w:spacing w:val="0"/>
          <w:sz w:val="24"/>
          <w:szCs w:val="24"/>
        </w:rPr>
        <w:lastRenderedPageBreak/>
        <w:t>mendapat keamanan serta kesehatan karena tehindar dari kekerasan.</w:t>
      </w:r>
    </w:p>
    <w:p w:rsidR="0053678A" w:rsidRDefault="001057F2">
      <w:pPr>
        <w:pStyle w:val="BodyText"/>
        <w:spacing w:after="40"/>
        <w:ind w:firstLine="567"/>
        <w:rPr>
          <w:rStyle w:val="fontstyle01"/>
          <w:rFonts w:ascii="Garamond" w:hAnsi="Garamond"/>
        </w:rPr>
      </w:pPr>
      <w:r>
        <w:rPr>
          <w:rFonts w:ascii="Garamond" w:hAnsi="Garamond"/>
          <w:color w:val="000000"/>
          <w:spacing w:val="0"/>
          <w:sz w:val="24"/>
          <w:szCs w:val="24"/>
        </w:rPr>
        <w:t>Diktum kedua perkara 18 UUSA berbunyi “</w:t>
      </w:r>
      <w:r>
        <w:rPr>
          <w:rFonts w:ascii="Garamond" w:hAnsi="Garamond"/>
          <w:i/>
          <w:iCs/>
          <w:color w:val="000000"/>
          <w:spacing w:val="0"/>
          <w:sz w:val="24"/>
          <w:szCs w:val="24"/>
        </w:rPr>
        <w:t xml:space="preserve">tiada koebarikan itoe lakinja mamegang bininja”. </w:t>
      </w:r>
      <w:r>
        <w:rPr>
          <w:rFonts w:ascii="Garamond" w:hAnsi="Garamond"/>
          <w:color w:val="000000"/>
          <w:spacing w:val="0"/>
          <w:sz w:val="24"/>
          <w:szCs w:val="24"/>
        </w:rPr>
        <w:t xml:space="preserve">Dalam diktum ini dapat dipahami bahwa sultan melarang suami untuk memegang istrinya pada saat </w:t>
      </w:r>
      <w:r>
        <w:rPr>
          <w:rFonts w:ascii="Garamond" w:hAnsi="Garamond"/>
          <w:i/>
          <w:iCs/>
          <w:color w:val="000000"/>
          <w:spacing w:val="0"/>
          <w:sz w:val="24"/>
          <w:szCs w:val="24"/>
        </w:rPr>
        <w:t>Barambangan</w:t>
      </w:r>
      <w:r>
        <w:rPr>
          <w:rFonts w:ascii="Garamond" w:hAnsi="Garamond"/>
          <w:color w:val="000000"/>
          <w:spacing w:val="0"/>
          <w:sz w:val="24"/>
          <w:szCs w:val="24"/>
        </w:rPr>
        <w:t xml:space="preserve">. </w:t>
      </w:r>
      <w:r>
        <w:rPr>
          <w:rStyle w:val="fontstyle01"/>
          <w:rFonts w:ascii="Garamond" w:hAnsi="Garamond"/>
        </w:rPr>
        <w:t>Kata “</w:t>
      </w:r>
      <w:r>
        <w:rPr>
          <w:rStyle w:val="fontstyle21"/>
          <w:rFonts w:ascii="Garamond" w:hAnsi="Garamond"/>
        </w:rPr>
        <w:t>mamegang</w:t>
      </w:r>
      <w:r>
        <w:rPr>
          <w:rStyle w:val="fontstyle01"/>
          <w:rFonts w:ascii="Garamond" w:hAnsi="Garamond"/>
        </w:rPr>
        <w:t>” pada diktum tersebut merupakan kata yang</w:t>
      </w:r>
      <w:r>
        <w:rPr>
          <w:rFonts w:ascii="Garamond" w:hAnsi="Garamond"/>
          <w:color w:val="000000"/>
          <w:sz w:val="24"/>
          <w:szCs w:val="24"/>
        </w:rPr>
        <w:br/>
      </w:r>
      <w:r>
        <w:rPr>
          <w:rStyle w:val="fontstyle01"/>
          <w:rFonts w:ascii="Garamond" w:hAnsi="Garamond"/>
        </w:rPr>
        <w:t>memi</w:t>
      </w:r>
      <w:r>
        <w:rPr>
          <w:rStyle w:val="fontstyle01"/>
          <w:rFonts w:ascii="Garamond" w:hAnsi="Garamond"/>
        </w:rPr>
        <w:t>liki makna kiasan. Hal ini karena karena yang membuat undang-undang ini adalah</w:t>
      </w:r>
      <w:r>
        <w:rPr>
          <w:rFonts w:ascii="Garamond" w:hAnsi="Garamond"/>
          <w:color w:val="000000"/>
          <w:sz w:val="24"/>
          <w:szCs w:val="24"/>
        </w:rPr>
        <w:t xml:space="preserve"> </w:t>
      </w:r>
      <w:r>
        <w:rPr>
          <w:rStyle w:val="fontstyle01"/>
          <w:rFonts w:ascii="Garamond" w:hAnsi="Garamond"/>
        </w:rPr>
        <w:t>kelompok cendekia sekitar istana. Seperti para tuan guru dan orang-orang yang</w:t>
      </w:r>
      <w:r>
        <w:rPr>
          <w:rFonts w:ascii="Garamond" w:hAnsi="Garamond"/>
          <w:color w:val="000000"/>
          <w:sz w:val="24"/>
          <w:szCs w:val="24"/>
        </w:rPr>
        <w:t xml:space="preserve"> </w:t>
      </w:r>
      <w:r>
        <w:rPr>
          <w:rStyle w:val="fontstyle01"/>
          <w:rFonts w:ascii="Garamond" w:hAnsi="Garamond"/>
        </w:rPr>
        <w:t>berkompeten di bidangnya. Terdapat dua makna dari kata “</w:t>
      </w:r>
      <w:r>
        <w:rPr>
          <w:rStyle w:val="fontstyle11"/>
          <w:rFonts w:ascii="Garamond" w:hAnsi="Garamond"/>
        </w:rPr>
        <w:t>mamegang</w:t>
      </w:r>
      <w:r>
        <w:rPr>
          <w:rStyle w:val="fontstyle01"/>
          <w:rFonts w:ascii="Garamond" w:hAnsi="Garamond"/>
        </w:rPr>
        <w:t>” dalam diktum tersebut. Pertama, s</w:t>
      </w:r>
      <w:r>
        <w:rPr>
          <w:rStyle w:val="fontstyle01"/>
          <w:rFonts w:ascii="Garamond" w:hAnsi="Garamond"/>
        </w:rPr>
        <w:t>uami memaksakan atau</w:t>
      </w:r>
      <w:r>
        <w:rPr>
          <w:rFonts w:ascii="Garamond" w:hAnsi="Garamond"/>
          <w:color w:val="000000"/>
          <w:sz w:val="24"/>
          <w:szCs w:val="24"/>
        </w:rPr>
        <w:t xml:space="preserve"> </w:t>
      </w:r>
      <w:r>
        <w:rPr>
          <w:rStyle w:val="fontstyle01"/>
          <w:rFonts w:ascii="Garamond" w:hAnsi="Garamond"/>
        </w:rPr>
        <w:t>melakukan kekerasan kepada istri. Kedua, suami memaksakan untuk</w:t>
      </w:r>
      <w:r>
        <w:rPr>
          <w:rFonts w:ascii="Garamond" w:hAnsi="Garamond"/>
          <w:color w:val="000000"/>
          <w:sz w:val="24"/>
          <w:szCs w:val="24"/>
        </w:rPr>
        <w:t xml:space="preserve"> </w:t>
      </w:r>
      <w:r>
        <w:rPr>
          <w:rStyle w:val="fontstyle01"/>
          <w:rFonts w:ascii="Garamond" w:hAnsi="Garamond"/>
        </w:rPr>
        <w:t xml:space="preserve">melakukan hubungan badan sebelum </w:t>
      </w:r>
      <w:r>
        <w:rPr>
          <w:rStyle w:val="fontstyle21"/>
          <w:rFonts w:ascii="Garamond" w:hAnsi="Garamond"/>
        </w:rPr>
        <w:t xml:space="preserve">berkebaikan </w:t>
      </w:r>
      <w:r>
        <w:rPr>
          <w:rStyle w:val="fontstyle01"/>
          <w:rFonts w:ascii="Garamond" w:hAnsi="Garamond"/>
        </w:rPr>
        <w:t>atau berdamai dengan istri. larangan memegang atau</w:t>
      </w:r>
      <w:r>
        <w:rPr>
          <w:rFonts w:ascii="Garamond" w:hAnsi="Garamond"/>
          <w:color w:val="000000"/>
          <w:sz w:val="24"/>
          <w:szCs w:val="24"/>
        </w:rPr>
        <w:t xml:space="preserve"> </w:t>
      </w:r>
      <w:r>
        <w:rPr>
          <w:rStyle w:val="fontstyle01"/>
          <w:rFonts w:ascii="Garamond" w:hAnsi="Garamond"/>
        </w:rPr>
        <w:t>menyentuh dalam diktum kedua ini bertujuan agar si suami tidak berbuat seme</w:t>
      </w:r>
      <w:r>
        <w:rPr>
          <w:rStyle w:val="fontstyle01"/>
          <w:rFonts w:ascii="Garamond" w:hAnsi="Garamond"/>
        </w:rPr>
        <w:t>na-mena terhadap</w:t>
      </w:r>
      <w:r>
        <w:rPr>
          <w:rFonts w:ascii="Garamond" w:hAnsi="Garamond"/>
          <w:color w:val="000000"/>
          <w:sz w:val="24"/>
          <w:szCs w:val="24"/>
        </w:rPr>
        <w:t xml:space="preserve"> </w:t>
      </w:r>
      <w:r>
        <w:rPr>
          <w:rStyle w:val="fontstyle01"/>
          <w:rFonts w:ascii="Garamond" w:hAnsi="Garamond"/>
        </w:rPr>
        <w:t xml:space="preserve">istrinya yang masih dalam status </w:t>
      </w:r>
      <w:r>
        <w:rPr>
          <w:rStyle w:val="fontstyle21"/>
          <w:rFonts w:ascii="Garamond" w:hAnsi="Garamond"/>
        </w:rPr>
        <w:t>Barambangan</w:t>
      </w:r>
      <w:r>
        <w:rPr>
          <w:rStyle w:val="fontstyle01"/>
          <w:rFonts w:ascii="Garamond" w:hAnsi="Garamond"/>
        </w:rPr>
        <w:t>.</w:t>
      </w:r>
      <w:r>
        <w:rPr>
          <w:rStyle w:val="FootnoteReference"/>
          <w:rFonts w:ascii="Garamond" w:hAnsi="Garamond"/>
          <w:color w:val="000000"/>
          <w:sz w:val="24"/>
          <w:szCs w:val="24"/>
        </w:rPr>
        <w:footnoteReference w:id="20"/>
      </w:r>
      <w:r>
        <w:rPr>
          <w:rStyle w:val="fontstyle01"/>
          <w:rFonts w:ascii="Garamond" w:hAnsi="Garamond"/>
        </w:rPr>
        <w:t xml:space="preserve"> </w:t>
      </w:r>
    </w:p>
    <w:p w:rsidR="0053678A" w:rsidRDefault="001057F2">
      <w:pPr>
        <w:pStyle w:val="BodyText"/>
        <w:spacing w:after="40"/>
        <w:ind w:firstLine="567"/>
        <w:rPr>
          <w:rFonts w:ascii="Garamond" w:hAnsi="Garamond"/>
          <w:color w:val="000000"/>
          <w:spacing w:val="0"/>
          <w:sz w:val="24"/>
          <w:szCs w:val="24"/>
        </w:rPr>
      </w:pPr>
      <w:r>
        <w:rPr>
          <w:rStyle w:val="fontstyle01"/>
          <w:rFonts w:ascii="Garamond" w:hAnsi="Garamond"/>
        </w:rPr>
        <w:t>Berdasarkan makna dari kata “</w:t>
      </w:r>
      <w:r>
        <w:rPr>
          <w:rStyle w:val="fontstyle11"/>
          <w:rFonts w:ascii="Garamond" w:hAnsi="Garamond"/>
        </w:rPr>
        <w:t>mamegang</w:t>
      </w:r>
      <w:r>
        <w:rPr>
          <w:rStyle w:val="fontstyle01"/>
          <w:rFonts w:ascii="Garamond" w:hAnsi="Garamond"/>
        </w:rPr>
        <w:t xml:space="preserve">” di atas, dapat dipahami bahwa Sultan melalui aturan </w:t>
      </w:r>
      <w:r>
        <w:rPr>
          <w:rStyle w:val="fontstyle01"/>
          <w:rFonts w:ascii="Garamond" w:hAnsi="Garamond"/>
          <w:i/>
          <w:iCs/>
        </w:rPr>
        <w:t>Barambangan</w:t>
      </w:r>
      <w:r>
        <w:rPr>
          <w:rStyle w:val="fontstyle01"/>
          <w:rFonts w:ascii="Garamond" w:hAnsi="Garamond"/>
        </w:rPr>
        <w:t xml:space="preserve"> dalam perkara 18 UUSA ini melarang seorang suami untuk melakukan kekerasan terhadap </w:t>
      </w:r>
      <w:r>
        <w:rPr>
          <w:rStyle w:val="fontstyle01"/>
          <w:rFonts w:ascii="Garamond" w:hAnsi="Garamond"/>
        </w:rPr>
        <w:t xml:space="preserve">istri maupun memaksa berhubungan badan apabila mereka belum berdamai. Hal ini </w:t>
      </w:r>
      <w:r>
        <w:rPr>
          <w:rStyle w:val="fontstyle01"/>
          <w:rFonts w:ascii="Garamond" w:hAnsi="Garamond"/>
        </w:rPr>
        <w:lastRenderedPageBreak/>
        <w:t xml:space="preserve">menunjukkan bahwa diktum kedua ini </w:t>
      </w:r>
      <w:r>
        <w:rPr>
          <w:rFonts w:ascii="Garamond" w:hAnsi="Garamond"/>
          <w:color w:val="000000"/>
          <w:spacing w:val="0"/>
          <w:sz w:val="24"/>
          <w:szCs w:val="24"/>
        </w:rPr>
        <w:t>juga termasuk bentuk perlindungan hukum yang bersifat preventive. Karena pada diktum ini sultan ingin mencegah tindak kekerasan dan pemaksaan t</w:t>
      </w:r>
      <w:r>
        <w:rPr>
          <w:rFonts w:ascii="Garamond" w:hAnsi="Garamond"/>
          <w:color w:val="000000"/>
          <w:spacing w:val="0"/>
          <w:sz w:val="24"/>
          <w:szCs w:val="24"/>
        </w:rPr>
        <w:t>erhadap istri jika merka belum berdamai.</w:t>
      </w:r>
    </w:p>
    <w:p w:rsidR="0053678A" w:rsidRDefault="001057F2">
      <w:pPr>
        <w:pStyle w:val="BodyText"/>
        <w:spacing w:after="40"/>
        <w:ind w:firstLine="567"/>
        <w:rPr>
          <w:rStyle w:val="fontstyle01"/>
          <w:rFonts w:ascii="Garamond" w:hAnsi="Garamond"/>
        </w:rPr>
      </w:pPr>
      <w:r>
        <w:rPr>
          <w:rFonts w:ascii="Garamond" w:hAnsi="Garamond"/>
          <w:color w:val="242021"/>
          <w:spacing w:val="0"/>
          <w:sz w:val="24"/>
          <w:szCs w:val="24"/>
        </w:rPr>
        <w:t xml:space="preserve">Terdapat arti positif dan negative dalam pada kata </w:t>
      </w:r>
      <w:r>
        <w:rPr>
          <w:rStyle w:val="fontstyle01"/>
          <w:rFonts w:ascii="Garamond" w:hAnsi="Garamond"/>
        </w:rPr>
        <w:t>“</w:t>
      </w:r>
      <w:r>
        <w:rPr>
          <w:rStyle w:val="fontstyle11"/>
          <w:rFonts w:ascii="Garamond" w:hAnsi="Garamond"/>
        </w:rPr>
        <w:t>mamegang</w:t>
      </w:r>
      <w:r>
        <w:rPr>
          <w:rStyle w:val="fontstyle01"/>
          <w:rFonts w:ascii="Garamond" w:hAnsi="Garamond"/>
        </w:rPr>
        <w:t>” dalam diktum ini. Dalam arti positif, memegang ini</w:t>
      </w:r>
      <w:r>
        <w:rPr>
          <w:rFonts w:ascii="Garamond" w:hAnsi="Garamond"/>
          <w:color w:val="000000"/>
          <w:sz w:val="24"/>
          <w:szCs w:val="24"/>
        </w:rPr>
        <w:t xml:space="preserve"> </w:t>
      </w:r>
      <w:r>
        <w:rPr>
          <w:rStyle w:val="fontstyle01"/>
          <w:rFonts w:ascii="Garamond" w:hAnsi="Garamond"/>
        </w:rPr>
        <w:t>maksudnya ialah suami mengajak atau menjemput istrinya secara langsung untuk</w:t>
      </w:r>
      <w:r>
        <w:rPr>
          <w:rFonts w:ascii="Garamond" w:hAnsi="Garamond"/>
          <w:color w:val="000000"/>
          <w:sz w:val="24"/>
          <w:szCs w:val="24"/>
        </w:rPr>
        <w:t xml:space="preserve"> </w:t>
      </w:r>
      <w:r>
        <w:rPr>
          <w:rStyle w:val="fontstyle01"/>
          <w:rFonts w:ascii="Garamond" w:hAnsi="Garamond"/>
        </w:rPr>
        <w:t>kembali Bersama. Sedangka</w:t>
      </w:r>
      <w:r>
        <w:rPr>
          <w:rStyle w:val="fontstyle01"/>
          <w:rFonts w:ascii="Garamond" w:hAnsi="Garamond"/>
        </w:rPr>
        <w:t>n dalam arti negatif ialah, suami melakukan tindak</w:t>
      </w:r>
      <w:r>
        <w:rPr>
          <w:rFonts w:ascii="Garamond" w:hAnsi="Garamond"/>
          <w:color w:val="000000"/>
          <w:sz w:val="24"/>
          <w:szCs w:val="24"/>
        </w:rPr>
        <w:br/>
      </w:r>
      <w:r>
        <w:rPr>
          <w:rStyle w:val="fontstyle01"/>
          <w:rFonts w:ascii="Garamond" w:hAnsi="Garamond"/>
        </w:rPr>
        <w:t>kekerasan kepada istri, seperti memarahi dan memukul. Baik arti positif ataupun negative, melalui UUSA ini Sultan tidak menghendaki hal itu terjadi sebelum adanya kesepakatan berdamai antara suami istri te</w:t>
      </w:r>
      <w:r>
        <w:rPr>
          <w:rStyle w:val="fontstyle01"/>
          <w:rFonts w:ascii="Garamond" w:hAnsi="Garamond"/>
        </w:rPr>
        <w:t>rsebut.</w:t>
      </w:r>
      <w:r>
        <w:rPr>
          <w:rStyle w:val="FootnoteReference"/>
          <w:rFonts w:ascii="Garamond" w:hAnsi="Garamond"/>
          <w:color w:val="000000"/>
          <w:sz w:val="24"/>
          <w:szCs w:val="24"/>
        </w:rPr>
        <w:footnoteReference w:id="21"/>
      </w:r>
    </w:p>
    <w:p w:rsidR="0053678A" w:rsidRDefault="001057F2">
      <w:pPr>
        <w:pStyle w:val="BodyText"/>
        <w:spacing w:after="40"/>
        <w:ind w:firstLine="567"/>
        <w:rPr>
          <w:rFonts w:ascii="Garamond" w:hAnsi="Garamond"/>
          <w:color w:val="000000"/>
          <w:spacing w:val="0"/>
          <w:sz w:val="24"/>
          <w:szCs w:val="24"/>
        </w:rPr>
      </w:pPr>
      <w:r>
        <w:rPr>
          <w:rStyle w:val="fontstyle01"/>
          <w:rFonts w:ascii="Garamond" w:hAnsi="Garamond"/>
        </w:rPr>
        <w:t>Diktum ketiga perkara 18 UUSA berbunyi “</w:t>
      </w:r>
      <w:r>
        <w:rPr>
          <w:rFonts w:ascii="Garamond" w:hAnsi="Garamond"/>
          <w:i/>
          <w:iCs/>
          <w:color w:val="000000"/>
          <w:spacing w:val="0"/>
          <w:sz w:val="24"/>
          <w:szCs w:val="24"/>
        </w:rPr>
        <w:t xml:space="preserve">hanja koesoeroeh segala berkebaikan maka hakim serta karabat kadoea pihak keosoeroeh mamadahi dan membaikkan dan apa-apa kasalahan kadoea pihak”. </w:t>
      </w:r>
      <w:r>
        <w:rPr>
          <w:rFonts w:ascii="Garamond" w:hAnsi="Garamond"/>
          <w:color w:val="000000"/>
          <w:spacing w:val="0"/>
          <w:sz w:val="24"/>
          <w:szCs w:val="24"/>
        </w:rPr>
        <w:t xml:space="preserve">Pada diktum ini, Sultan menghendaki suami istri yang sedang </w:t>
      </w:r>
      <w:r>
        <w:rPr>
          <w:rFonts w:ascii="Garamond" w:hAnsi="Garamond"/>
          <w:i/>
          <w:iCs/>
          <w:color w:val="000000"/>
          <w:spacing w:val="0"/>
          <w:sz w:val="24"/>
          <w:szCs w:val="24"/>
        </w:rPr>
        <w:t>B</w:t>
      </w:r>
      <w:r>
        <w:rPr>
          <w:rFonts w:ascii="Garamond" w:hAnsi="Garamond"/>
          <w:i/>
          <w:iCs/>
          <w:color w:val="000000"/>
          <w:spacing w:val="0"/>
          <w:sz w:val="24"/>
          <w:szCs w:val="24"/>
        </w:rPr>
        <w:t>arambangan</w:t>
      </w:r>
      <w:r>
        <w:rPr>
          <w:rFonts w:ascii="Garamond" w:hAnsi="Garamond"/>
          <w:color w:val="000000"/>
          <w:spacing w:val="0"/>
          <w:sz w:val="24"/>
          <w:szCs w:val="24"/>
        </w:rPr>
        <w:t xml:space="preserve"> agar segera “berkebaikan” atau sepakat untuk berdamai.</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Selanjutnya, diktum ini juga mengatur tata cara kesepakatan berdamai. Untuk berdamai dan bersatu Kembali dalam satu rumah, suami istri yang </w:t>
      </w:r>
      <w:r>
        <w:rPr>
          <w:rFonts w:ascii="Garamond" w:hAnsi="Garamond"/>
          <w:i/>
          <w:iCs/>
          <w:color w:val="000000"/>
          <w:spacing w:val="0"/>
          <w:sz w:val="24"/>
          <w:szCs w:val="24"/>
        </w:rPr>
        <w:t>Barambangan</w:t>
      </w:r>
      <w:r>
        <w:rPr>
          <w:rFonts w:ascii="Garamond" w:hAnsi="Garamond"/>
          <w:color w:val="000000"/>
          <w:spacing w:val="0"/>
          <w:sz w:val="24"/>
          <w:szCs w:val="24"/>
        </w:rPr>
        <w:t xml:space="preserve"> harus </w:t>
      </w:r>
      <w:r>
        <w:rPr>
          <w:rFonts w:ascii="Garamond" w:hAnsi="Garamond"/>
          <w:color w:val="000000"/>
          <w:spacing w:val="0"/>
          <w:sz w:val="24"/>
          <w:szCs w:val="24"/>
        </w:rPr>
        <w:lastRenderedPageBreak/>
        <w:t>ada pihak ketiga sebagai mediato</w:t>
      </w:r>
      <w:r>
        <w:rPr>
          <w:rFonts w:ascii="Garamond" w:hAnsi="Garamond"/>
          <w:color w:val="000000"/>
          <w:spacing w:val="0"/>
          <w:sz w:val="24"/>
          <w:szCs w:val="24"/>
        </w:rPr>
        <w:t xml:space="preserve">r untuk mendamaikan. Diktum ini mengatur bahwa orang yang berperan sebagai mediator adalah hakim dan kerabat kedua belah pihak. Dalam hal ini hakim dan kerabat memiliki tugas untuk menasihati dan mendamaikan pasangan suami istri yang </w:t>
      </w:r>
      <w:r>
        <w:rPr>
          <w:rFonts w:ascii="Garamond" w:hAnsi="Garamond"/>
          <w:i/>
          <w:iCs/>
          <w:color w:val="000000"/>
          <w:spacing w:val="0"/>
          <w:sz w:val="24"/>
          <w:szCs w:val="24"/>
        </w:rPr>
        <w:t>Barambangan</w:t>
      </w:r>
      <w:r>
        <w:rPr>
          <w:rFonts w:ascii="Garamond" w:hAnsi="Garamond"/>
          <w:color w:val="000000"/>
          <w:spacing w:val="0"/>
          <w:sz w:val="24"/>
          <w:szCs w:val="24"/>
        </w:rPr>
        <w:t>.</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Aturan da</w:t>
      </w:r>
      <w:r>
        <w:rPr>
          <w:rFonts w:ascii="Garamond" w:hAnsi="Garamond"/>
          <w:color w:val="000000"/>
          <w:spacing w:val="0"/>
          <w:sz w:val="24"/>
          <w:szCs w:val="24"/>
        </w:rPr>
        <w:t>lam diktum ketiga ini  sejalan dengan teori penyelesaian sengketa. Dean G. Pruitt dan Jeffery Z melihat sengketa dari perbedaan kepentingan, atau tidak dicapainya kesepakatan para pihak.</w:t>
      </w:r>
      <w:r>
        <w:rPr>
          <w:rStyle w:val="FootnoteReference"/>
          <w:rFonts w:ascii="Garamond" w:hAnsi="Garamond"/>
          <w:color w:val="000000"/>
          <w:spacing w:val="0"/>
          <w:sz w:val="24"/>
          <w:szCs w:val="24"/>
        </w:rPr>
        <w:footnoteReference w:id="22"/>
      </w:r>
      <w:r>
        <w:rPr>
          <w:rFonts w:ascii="Garamond" w:hAnsi="Garamond"/>
          <w:color w:val="000000"/>
          <w:spacing w:val="0"/>
          <w:sz w:val="24"/>
          <w:szCs w:val="24"/>
        </w:rPr>
        <w:t xml:space="preserve"> Dalam hal ini, terjadinya </w:t>
      </w:r>
      <w:r>
        <w:rPr>
          <w:rFonts w:ascii="Garamond" w:hAnsi="Garamond"/>
          <w:i/>
          <w:iCs/>
          <w:color w:val="000000"/>
          <w:spacing w:val="0"/>
          <w:sz w:val="24"/>
          <w:szCs w:val="24"/>
        </w:rPr>
        <w:t>Barambangan</w:t>
      </w:r>
      <w:r>
        <w:rPr>
          <w:rFonts w:ascii="Garamond" w:hAnsi="Garamond"/>
          <w:color w:val="000000"/>
          <w:spacing w:val="0"/>
          <w:sz w:val="24"/>
          <w:szCs w:val="24"/>
        </w:rPr>
        <w:t xml:space="preserve"> dikarenakan adanya perbedaan k</w:t>
      </w:r>
      <w:r>
        <w:rPr>
          <w:rFonts w:ascii="Garamond" w:hAnsi="Garamond"/>
          <w:color w:val="000000"/>
          <w:spacing w:val="0"/>
          <w:sz w:val="24"/>
          <w:szCs w:val="24"/>
        </w:rPr>
        <w:t>epentingan atau kebutuhan masing-masing suami istri, sehingga tidak tercapai kesepakatan antara suami istri.</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  Laura Nader dan Harry F. Todd Jr., mengemukakan tujuh cara penyelesaian sengketa dalam masyarakat, salah satunya adalah mediasi. Mediasi merupaka</w:t>
      </w:r>
      <w:r>
        <w:rPr>
          <w:rFonts w:ascii="Garamond" w:hAnsi="Garamond"/>
          <w:color w:val="000000"/>
          <w:spacing w:val="0"/>
          <w:sz w:val="24"/>
          <w:szCs w:val="24"/>
        </w:rPr>
        <w:t>n cara penyelesaian sengketa dengan adanya pihak ketiga yang membantu kedua belah pihak yang berselisih pendapat untuk menemukan kesepakatan. Pihak ketiga ini dapat ditentukan oleh kedua belah pihak atau ditentukan oleh orang yang berwenang untuk itu.</w:t>
      </w:r>
      <w:r>
        <w:rPr>
          <w:rStyle w:val="FootnoteReference"/>
          <w:rFonts w:ascii="Garamond" w:hAnsi="Garamond"/>
          <w:color w:val="000000"/>
          <w:spacing w:val="0"/>
          <w:sz w:val="24"/>
          <w:szCs w:val="24"/>
        </w:rPr>
        <w:footnoteReference w:id="23"/>
      </w:r>
      <w:r>
        <w:rPr>
          <w:rFonts w:ascii="Garamond" w:hAnsi="Garamond"/>
          <w:color w:val="000000"/>
          <w:spacing w:val="0"/>
          <w:sz w:val="24"/>
          <w:szCs w:val="24"/>
        </w:rPr>
        <w:t xml:space="preserve"> Pad</w:t>
      </w:r>
      <w:r>
        <w:rPr>
          <w:rFonts w:ascii="Garamond" w:hAnsi="Garamond"/>
          <w:color w:val="000000"/>
          <w:spacing w:val="0"/>
          <w:sz w:val="24"/>
          <w:szCs w:val="24"/>
        </w:rPr>
        <w:t xml:space="preserve">a tradisi </w:t>
      </w:r>
      <w:r>
        <w:rPr>
          <w:rFonts w:ascii="Garamond" w:hAnsi="Garamond"/>
          <w:i/>
          <w:iCs/>
          <w:color w:val="000000"/>
          <w:spacing w:val="0"/>
          <w:sz w:val="24"/>
          <w:szCs w:val="24"/>
        </w:rPr>
        <w:t>Barambangan</w:t>
      </w:r>
      <w:r>
        <w:rPr>
          <w:rFonts w:ascii="Garamond" w:hAnsi="Garamond"/>
          <w:color w:val="000000"/>
          <w:spacing w:val="0"/>
          <w:sz w:val="24"/>
          <w:szCs w:val="24"/>
        </w:rPr>
        <w:t xml:space="preserve"> ini, penyelesaian sengketa harus dilakukan dengan bantuan pihak ketiga. Pihak ketiga </w:t>
      </w:r>
      <w:r>
        <w:rPr>
          <w:rFonts w:ascii="Garamond" w:hAnsi="Garamond"/>
          <w:color w:val="000000"/>
          <w:spacing w:val="0"/>
          <w:sz w:val="24"/>
          <w:szCs w:val="24"/>
        </w:rPr>
        <w:lastRenderedPageBreak/>
        <w:t xml:space="preserve">dalam tradisi </w:t>
      </w:r>
      <w:r>
        <w:rPr>
          <w:rFonts w:ascii="Garamond" w:hAnsi="Garamond"/>
          <w:i/>
          <w:iCs/>
          <w:color w:val="000000"/>
          <w:spacing w:val="0"/>
          <w:sz w:val="24"/>
          <w:szCs w:val="24"/>
        </w:rPr>
        <w:t>Barambangan</w:t>
      </w:r>
      <w:r>
        <w:rPr>
          <w:rFonts w:ascii="Garamond" w:hAnsi="Garamond"/>
          <w:color w:val="000000"/>
          <w:spacing w:val="0"/>
          <w:sz w:val="24"/>
          <w:szCs w:val="24"/>
        </w:rPr>
        <w:t xml:space="preserve"> ini telah ditentukan oleh Sultan, yaitu Hakim dan kerabat kedua belah pihak.</w:t>
      </w:r>
    </w:p>
    <w:p w:rsidR="0053678A" w:rsidRDefault="001057F2">
      <w:pPr>
        <w:pStyle w:val="BodyText"/>
        <w:spacing w:after="40"/>
        <w:ind w:firstLine="567"/>
        <w:rPr>
          <w:color w:val="000000"/>
          <w:spacing w:val="0"/>
          <w:sz w:val="24"/>
          <w:szCs w:val="24"/>
        </w:rPr>
      </w:pPr>
      <w:r>
        <w:rPr>
          <w:rStyle w:val="fontstyle01"/>
          <w:rFonts w:ascii="Garamond" w:hAnsi="Garamond"/>
        </w:rPr>
        <w:t>Diktum keempat perkara 18 UUSA berbunyi “</w:t>
      </w:r>
      <w:r>
        <w:rPr>
          <w:rFonts w:ascii="Garamond" w:hAnsi="Garamond"/>
          <w:i/>
          <w:iCs/>
          <w:color w:val="000000"/>
          <w:spacing w:val="0"/>
          <w:sz w:val="24"/>
          <w:szCs w:val="24"/>
        </w:rPr>
        <w:t xml:space="preserve">apabila anggan menoeroet hoekoem dan adat”. </w:t>
      </w:r>
      <w:r>
        <w:rPr>
          <w:rFonts w:ascii="Garamond" w:hAnsi="Garamond"/>
          <w:color w:val="000000"/>
          <w:spacing w:val="0"/>
          <w:sz w:val="24"/>
          <w:szCs w:val="24"/>
        </w:rPr>
        <w:t xml:space="preserve">Dalam diktum tersebut terdapat </w:t>
      </w:r>
      <w:r>
        <w:rPr>
          <w:rStyle w:val="fontstyle01"/>
          <w:rFonts w:ascii="Garamond" w:hAnsi="Garamond"/>
        </w:rPr>
        <w:t>dua kata yang perlu dicermati. Yaitu “</w:t>
      </w:r>
      <w:r>
        <w:rPr>
          <w:rStyle w:val="fontstyle21"/>
          <w:rFonts w:ascii="Garamond" w:hAnsi="Garamond"/>
        </w:rPr>
        <w:t>hoekoem</w:t>
      </w:r>
      <w:r>
        <w:rPr>
          <w:rStyle w:val="fontstyle01"/>
          <w:rFonts w:ascii="Garamond" w:hAnsi="Garamond"/>
        </w:rPr>
        <w:t>” dalam teks</w:t>
      </w:r>
      <w:r>
        <w:rPr>
          <w:rFonts w:ascii="Garamond" w:hAnsi="Garamond"/>
          <w:color w:val="000000"/>
          <w:sz w:val="24"/>
          <w:szCs w:val="24"/>
        </w:rPr>
        <w:t xml:space="preserve"> </w:t>
      </w:r>
      <w:r>
        <w:rPr>
          <w:rStyle w:val="fontstyle01"/>
          <w:rFonts w:ascii="Garamond" w:hAnsi="Garamond"/>
        </w:rPr>
        <w:t>tersebut maksudnya adalah hakim. Sedangkan “</w:t>
      </w:r>
      <w:r>
        <w:rPr>
          <w:rStyle w:val="fontstyle21"/>
          <w:rFonts w:ascii="Garamond" w:hAnsi="Garamond"/>
        </w:rPr>
        <w:t>adat</w:t>
      </w:r>
      <w:r>
        <w:rPr>
          <w:rStyle w:val="fontstyle01"/>
          <w:rFonts w:ascii="Garamond" w:hAnsi="Garamond"/>
        </w:rPr>
        <w:t>” dalam teks</w:t>
      </w:r>
      <w:r>
        <w:rPr>
          <w:rFonts w:ascii="Garamond" w:hAnsi="Garamond"/>
          <w:color w:val="000000"/>
          <w:sz w:val="24"/>
          <w:szCs w:val="24"/>
        </w:rPr>
        <w:t xml:space="preserve"> </w:t>
      </w:r>
      <w:r>
        <w:rPr>
          <w:rStyle w:val="fontstyle01"/>
          <w:rFonts w:ascii="Garamond" w:hAnsi="Garamond"/>
        </w:rPr>
        <w:t>tersebut maksudnya adalah kerabat kedua belah pihak. Hal ini b</w:t>
      </w:r>
      <w:r>
        <w:rPr>
          <w:rStyle w:val="fontstyle01"/>
          <w:rFonts w:ascii="Garamond" w:hAnsi="Garamond"/>
        </w:rPr>
        <w:t>erarti kata “</w:t>
      </w:r>
      <w:r>
        <w:rPr>
          <w:rFonts w:ascii="Garamond" w:hAnsi="Garamond"/>
          <w:i/>
          <w:iCs/>
          <w:color w:val="000000"/>
          <w:spacing w:val="0"/>
          <w:sz w:val="24"/>
          <w:szCs w:val="24"/>
        </w:rPr>
        <w:t xml:space="preserve">karabat kadoea pihak” </w:t>
      </w:r>
      <w:r>
        <w:rPr>
          <w:rFonts w:ascii="Garamond" w:hAnsi="Garamond"/>
          <w:color w:val="000000"/>
          <w:spacing w:val="0"/>
          <w:sz w:val="24"/>
          <w:szCs w:val="24"/>
        </w:rPr>
        <w:t>pada diktum sebelumnya berhubungan dengan adat. Artinya, kerabat kedua belah pihak pada diktum sebelumnya adalah untuk mewakili adat.</w:t>
      </w:r>
      <w:r>
        <w:rPr>
          <w:rStyle w:val="FootnoteReference"/>
          <w:rFonts w:ascii="Garamond" w:hAnsi="Garamond"/>
          <w:color w:val="000000"/>
          <w:spacing w:val="0"/>
          <w:sz w:val="24"/>
          <w:szCs w:val="24"/>
        </w:rPr>
        <w:footnoteReference w:id="24"/>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Pada diktum ini tersirat bahwa penyelesaian sengketa </w:t>
      </w:r>
      <w:r>
        <w:rPr>
          <w:rFonts w:ascii="Garamond" w:hAnsi="Garamond"/>
          <w:i/>
          <w:iCs/>
          <w:color w:val="000000"/>
          <w:spacing w:val="0"/>
          <w:sz w:val="24"/>
          <w:szCs w:val="24"/>
        </w:rPr>
        <w:t>Barambangan</w:t>
      </w:r>
      <w:r>
        <w:rPr>
          <w:rFonts w:ascii="Garamond" w:hAnsi="Garamond"/>
          <w:color w:val="000000"/>
          <w:spacing w:val="0"/>
          <w:sz w:val="24"/>
          <w:szCs w:val="24"/>
        </w:rPr>
        <w:t xml:space="preserve"> ini berkaitan dengan </w:t>
      </w:r>
      <w:r>
        <w:rPr>
          <w:rFonts w:ascii="Garamond" w:hAnsi="Garamond"/>
          <w:color w:val="000000"/>
          <w:spacing w:val="0"/>
          <w:sz w:val="24"/>
          <w:szCs w:val="24"/>
        </w:rPr>
        <w:t xml:space="preserve">hukum Islam dan hukum adat. Hal ini menunjukkan bahwa UUSA yang dibuat kesultanan Banjar pada masa tersebut telah mengadopsi pluralisme hukum. Lawrence M. Friedman mengemukakan dua unsur pluralism hukum. Pertama, adanya system hukum atau kultur hukum yang </w:t>
      </w:r>
      <w:r>
        <w:rPr>
          <w:rFonts w:ascii="Garamond" w:hAnsi="Garamond"/>
          <w:color w:val="000000"/>
          <w:spacing w:val="0"/>
          <w:sz w:val="24"/>
          <w:szCs w:val="24"/>
        </w:rPr>
        <w:t>berbeda. Kedua. Berlakunya dalam komunitas politik tunggal.</w:t>
      </w:r>
      <w:r>
        <w:rPr>
          <w:rStyle w:val="FootnoteReference"/>
          <w:rFonts w:ascii="Garamond" w:hAnsi="Garamond"/>
          <w:color w:val="000000"/>
          <w:spacing w:val="0"/>
          <w:sz w:val="24"/>
          <w:szCs w:val="24"/>
        </w:rPr>
        <w:footnoteReference w:id="25"/>
      </w:r>
      <w:r>
        <w:rPr>
          <w:rFonts w:ascii="Garamond" w:hAnsi="Garamond"/>
          <w:color w:val="000000"/>
          <w:spacing w:val="0"/>
          <w:sz w:val="24"/>
          <w:szCs w:val="24"/>
        </w:rPr>
        <w:t xml:space="preserve"> UUSA menerapkan dua system hukum yang berbeda. Yaitu system hukum Islam dan hukum Adat.</w:t>
      </w:r>
    </w:p>
    <w:p w:rsidR="0053678A" w:rsidRDefault="001057F2">
      <w:pPr>
        <w:pStyle w:val="BodyText"/>
        <w:spacing w:after="40"/>
        <w:ind w:firstLine="567"/>
        <w:rPr>
          <w:rFonts w:ascii="Garamond" w:hAnsi="Garamond"/>
          <w:color w:val="000000"/>
          <w:spacing w:val="0"/>
          <w:sz w:val="24"/>
          <w:szCs w:val="24"/>
        </w:rPr>
      </w:pPr>
      <w:r>
        <w:rPr>
          <w:rStyle w:val="fontstyle01"/>
          <w:rFonts w:ascii="Garamond" w:hAnsi="Garamond"/>
        </w:rPr>
        <w:lastRenderedPageBreak/>
        <w:t>Diktum kelima perkara 18 UUSA berbunyi “</w:t>
      </w:r>
      <w:r>
        <w:rPr>
          <w:rFonts w:ascii="Garamond" w:hAnsi="Garamond"/>
          <w:i/>
          <w:iCs/>
          <w:color w:val="000000"/>
          <w:spacing w:val="0"/>
          <w:sz w:val="24"/>
          <w:szCs w:val="24"/>
        </w:rPr>
        <w:t>serta sangat hadjat minta baikkan pada hal perampoean itoe keras ti</w:t>
      </w:r>
      <w:r>
        <w:rPr>
          <w:rFonts w:ascii="Garamond" w:hAnsi="Garamond"/>
          <w:i/>
          <w:iCs/>
          <w:color w:val="000000"/>
          <w:spacing w:val="0"/>
          <w:sz w:val="24"/>
          <w:szCs w:val="24"/>
        </w:rPr>
        <w:t>ada maoe berkabaikan lagi maka padahkan kajah diakoe</w:t>
      </w:r>
      <w:r>
        <w:rPr>
          <w:rFonts w:ascii="Garamond" w:hAnsi="Garamond"/>
          <w:color w:val="000000"/>
          <w:spacing w:val="0"/>
          <w:sz w:val="24"/>
          <w:szCs w:val="24"/>
        </w:rPr>
        <w:t>”. Pada diktum tersebut dijelaskan terkait cara penyelesaian sengketa jika istri tidak mau berdamai dengan suaminya, walaupun sudah melakukan mediasi dengan hakim dan kerabat kedua belah pihak. Apabila is</w:t>
      </w:r>
      <w:r>
        <w:rPr>
          <w:rFonts w:ascii="Garamond" w:hAnsi="Garamond"/>
          <w:color w:val="000000"/>
          <w:spacing w:val="0"/>
          <w:sz w:val="24"/>
          <w:szCs w:val="24"/>
        </w:rPr>
        <w:t>tri tidak mau berdamai, maka Sultan akan mengambil alih penyelesaian sengketa tersebut.</w:t>
      </w:r>
    </w:p>
    <w:p w:rsidR="0053678A" w:rsidRDefault="001057F2">
      <w:pPr>
        <w:pStyle w:val="BodyText"/>
        <w:spacing w:after="40"/>
        <w:ind w:firstLine="567"/>
        <w:rPr>
          <w:rFonts w:ascii="Garamond" w:hAnsi="Garamond"/>
          <w:color w:val="000000"/>
          <w:spacing w:val="0"/>
          <w:sz w:val="24"/>
          <w:szCs w:val="24"/>
        </w:rPr>
      </w:pPr>
      <w:r>
        <w:rPr>
          <w:rStyle w:val="fontstyle01"/>
          <w:rFonts w:ascii="Garamond" w:hAnsi="Garamond"/>
        </w:rPr>
        <w:t>Dalam hal ini, sultan memegang</w:t>
      </w:r>
      <w:r>
        <w:rPr>
          <w:rFonts w:ascii="Garamond" w:hAnsi="Garamond"/>
          <w:color w:val="000000"/>
          <w:sz w:val="24"/>
          <w:szCs w:val="24"/>
        </w:rPr>
        <w:t xml:space="preserve"> </w:t>
      </w:r>
      <w:r>
        <w:rPr>
          <w:rStyle w:val="fontstyle01"/>
          <w:rFonts w:ascii="Garamond" w:hAnsi="Garamond"/>
        </w:rPr>
        <w:t xml:space="preserve">kekuasaan tertinggi dalam urusan rumah tangga suami istri yang </w:t>
      </w:r>
      <w:r>
        <w:rPr>
          <w:rStyle w:val="fontstyle21"/>
          <w:rFonts w:ascii="Garamond" w:hAnsi="Garamond"/>
        </w:rPr>
        <w:t>Barambangan</w:t>
      </w:r>
      <w:r>
        <w:rPr>
          <w:rStyle w:val="fontstyle01"/>
          <w:rFonts w:ascii="Garamond" w:hAnsi="Garamond"/>
        </w:rPr>
        <w:t>. Setelah itu, sultan bisa saja memutuskan dan memerintahkan</w:t>
      </w:r>
      <w:r>
        <w:rPr>
          <w:rFonts w:ascii="Garamond" w:hAnsi="Garamond"/>
          <w:color w:val="000000"/>
          <w:sz w:val="24"/>
          <w:szCs w:val="24"/>
        </w:rPr>
        <w:t xml:space="preserve"> </w:t>
      </w:r>
      <w:r>
        <w:rPr>
          <w:rStyle w:val="fontstyle01"/>
          <w:rFonts w:ascii="Garamond" w:hAnsi="Garamond"/>
        </w:rPr>
        <w:t>ke</w:t>
      </w:r>
      <w:r>
        <w:rPr>
          <w:rStyle w:val="fontstyle01"/>
          <w:rFonts w:ascii="Garamond" w:hAnsi="Garamond"/>
        </w:rPr>
        <w:t>pada hakim untuk menceraikan suami istri tersebut. Selain itu,</w:t>
      </w:r>
      <w:r>
        <w:rPr>
          <w:rFonts w:ascii="Garamond" w:hAnsi="Garamond"/>
          <w:color w:val="000000"/>
          <w:sz w:val="24"/>
          <w:szCs w:val="24"/>
        </w:rPr>
        <w:t xml:space="preserve"> </w:t>
      </w:r>
      <w:r>
        <w:rPr>
          <w:rStyle w:val="fontstyle01"/>
          <w:rFonts w:ascii="Garamond" w:hAnsi="Garamond"/>
        </w:rPr>
        <w:t>Sultan juga bisa memanggil kembali hakim dan kedua belah pihak, baik itu kerabat</w:t>
      </w:r>
      <w:r>
        <w:rPr>
          <w:rFonts w:ascii="Garamond" w:hAnsi="Garamond"/>
          <w:color w:val="000000"/>
          <w:sz w:val="24"/>
          <w:szCs w:val="24"/>
        </w:rPr>
        <w:t xml:space="preserve"> </w:t>
      </w:r>
      <w:r>
        <w:rPr>
          <w:rStyle w:val="fontstyle01"/>
          <w:rFonts w:ascii="Garamond" w:hAnsi="Garamond"/>
        </w:rPr>
        <w:t>maupun suami istri tersebut.</w:t>
      </w:r>
      <w:r>
        <w:rPr>
          <w:rStyle w:val="FootnoteReference"/>
          <w:rFonts w:ascii="Garamond" w:hAnsi="Garamond"/>
          <w:color w:val="000000"/>
          <w:sz w:val="24"/>
          <w:szCs w:val="24"/>
        </w:rPr>
        <w:footnoteReference w:id="26"/>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Diktum kelima ini juga menunjukkan posisi perempuan sebagai orang yang tidak mau d</w:t>
      </w:r>
      <w:r>
        <w:rPr>
          <w:rFonts w:ascii="Garamond" w:hAnsi="Garamond"/>
          <w:color w:val="000000"/>
          <w:spacing w:val="0"/>
          <w:sz w:val="24"/>
          <w:szCs w:val="24"/>
        </w:rPr>
        <w:t xml:space="preserve">iajak berdamai. Bunyi perkara 18 UUSA tentang </w:t>
      </w:r>
      <w:r>
        <w:rPr>
          <w:rFonts w:ascii="Garamond" w:hAnsi="Garamond"/>
          <w:i/>
          <w:iCs/>
          <w:color w:val="000000"/>
          <w:spacing w:val="0"/>
          <w:sz w:val="24"/>
          <w:szCs w:val="24"/>
        </w:rPr>
        <w:t>Barambangan</w:t>
      </w:r>
      <w:r>
        <w:rPr>
          <w:rFonts w:ascii="Garamond" w:hAnsi="Garamond"/>
          <w:color w:val="000000"/>
          <w:spacing w:val="0"/>
          <w:sz w:val="24"/>
          <w:szCs w:val="24"/>
        </w:rPr>
        <w:t xml:space="preserve"> ini terlihat menekankan perkara kepada perempuan. Hal ini mungkin didasarkan atas banyaknya perempuan yang menjadi korban atau dirugikan. </w:t>
      </w:r>
      <w:r>
        <w:rPr>
          <w:rStyle w:val="fontstyle01"/>
          <w:rFonts w:ascii="Garamond" w:hAnsi="Garamond"/>
        </w:rPr>
        <w:t>Misalnya, karena persoalan suami berpoligami, kekerasan dala</w:t>
      </w:r>
      <w:r>
        <w:rPr>
          <w:rStyle w:val="fontstyle01"/>
          <w:rFonts w:ascii="Garamond" w:hAnsi="Garamond"/>
        </w:rPr>
        <w:t xml:space="preserve">m rumah tangga </w:t>
      </w:r>
      <w:r>
        <w:rPr>
          <w:rStyle w:val="fontstyle01"/>
          <w:rFonts w:ascii="Garamond" w:hAnsi="Garamond"/>
        </w:rPr>
        <w:lastRenderedPageBreak/>
        <w:t>(KDRT), atau karena konflik yang dihadapi sudah sangat besar. Keadaan seperti ini membuat seorang perempuan tidak mau diajak berdamai.</w:t>
      </w:r>
    </w:p>
    <w:p w:rsidR="0053678A" w:rsidRDefault="001057F2">
      <w:pPr>
        <w:pStyle w:val="BodyText"/>
        <w:spacing w:after="40"/>
        <w:ind w:firstLine="567"/>
        <w:rPr>
          <w:rStyle w:val="fontstyle01"/>
          <w:rFonts w:ascii="Garamond" w:hAnsi="Garamond"/>
        </w:rPr>
      </w:pPr>
      <w:r>
        <w:rPr>
          <w:rStyle w:val="fontstyle01"/>
          <w:rFonts w:ascii="Garamond" w:hAnsi="Garamond"/>
        </w:rPr>
        <w:t>Kathryn M Bell dan Amy E Naugle mengemukakan empat teori yang mengkaji terkait KDRT. Teori ini berkaitan d</w:t>
      </w:r>
      <w:r>
        <w:rPr>
          <w:rStyle w:val="fontstyle01"/>
          <w:rFonts w:ascii="Garamond" w:hAnsi="Garamond"/>
        </w:rPr>
        <w:t xml:space="preserve">engan keputusan dalam mengakhiri rumah tangga. Terdapat dua teori yang sesuai dengan kondisi perempuan dalam konteks </w:t>
      </w:r>
      <w:r>
        <w:rPr>
          <w:rStyle w:val="fontstyle01"/>
          <w:rFonts w:ascii="Garamond" w:hAnsi="Garamond"/>
          <w:i/>
          <w:iCs/>
        </w:rPr>
        <w:t>Barambangan</w:t>
      </w:r>
      <w:r>
        <w:rPr>
          <w:rStyle w:val="fontstyle01"/>
          <w:rFonts w:ascii="Garamond" w:hAnsi="Garamond"/>
        </w:rPr>
        <w:t xml:space="preserve"> ini. Pertama, teori Learned Helplessness. Teori ini berpendapat bahwa perempuan yang teraniaya umumnya merasa mereka tidak </w:t>
      </w:r>
      <w:r>
        <w:rPr>
          <w:rStyle w:val="fontstyle01"/>
          <w:rFonts w:ascii="Garamond" w:hAnsi="Garamond"/>
        </w:rPr>
        <w:t xml:space="preserve">memiliki kekuatan untuk menghentikan perbuatan pasangannya. Mereka akhirnya cenderung ingin menghentikan segala usaha untuk meninggalkan atau mengubah kondisi kekerasan tersebut. Kedua, Psychological Entrapment. Teori ini menyatakan bahwa tingkat komitmen </w:t>
      </w:r>
      <w:r>
        <w:rPr>
          <w:rStyle w:val="fontstyle01"/>
          <w:rFonts w:ascii="Garamond" w:hAnsi="Garamond"/>
        </w:rPr>
        <w:t>dalam suatu hubungan meningkat seiring dengan jumlah investasi terhadap hubungan tersebut. Misalnya seorang perempuan yang menikah telah menghabiskan banyak waktu, tenaga, dan uang untuk pernikahannya. Meskipun keadaan tidak sesuai dengan harapannya, kondi</w:t>
      </w:r>
      <w:r>
        <w:rPr>
          <w:rStyle w:val="fontstyle01"/>
          <w:rFonts w:ascii="Garamond" w:hAnsi="Garamond"/>
        </w:rPr>
        <w:t>si ini terus berlanjut, sehingga akhirnya telah berinvestasi terlalu banyak untuk mengakhiri pernikahannya.</w:t>
      </w:r>
      <w:r>
        <w:rPr>
          <w:rStyle w:val="FootnoteReference"/>
          <w:rFonts w:ascii="Garamond" w:hAnsi="Garamond"/>
          <w:color w:val="000000"/>
          <w:sz w:val="24"/>
          <w:szCs w:val="24"/>
        </w:rPr>
        <w:footnoteReference w:id="27"/>
      </w:r>
    </w:p>
    <w:p w:rsidR="0053678A" w:rsidRDefault="001057F2">
      <w:pPr>
        <w:pStyle w:val="BodyText"/>
        <w:spacing w:after="40"/>
        <w:ind w:firstLine="567"/>
        <w:rPr>
          <w:rStyle w:val="fontstyle01"/>
          <w:rFonts w:ascii="Garamond" w:hAnsi="Garamond"/>
        </w:rPr>
      </w:pPr>
      <w:r>
        <w:rPr>
          <w:rFonts w:ascii="Garamond" w:hAnsi="Garamond"/>
          <w:color w:val="242021"/>
          <w:spacing w:val="0"/>
          <w:sz w:val="24"/>
          <w:szCs w:val="24"/>
        </w:rPr>
        <w:t xml:space="preserve">Keadaan </w:t>
      </w:r>
      <w:r>
        <w:rPr>
          <w:rStyle w:val="fontstyle01"/>
          <w:rFonts w:ascii="Garamond" w:hAnsi="Garamond"/>
        </w:rPr>
        <w:t xml:space="preserve">seorang perempuan tidak mau diajak berdamai dalam kondisi </w:t>
      </w:r>
      <w:r>
        <w:rPr>
          <w:rStyle w:val="fontstyle01"/>
          <w:rFonts w:ascii="Garamond" w:hAnsi="Garamond"/>
          <w:i/>
          <w:iCs/>
        </w:rPr>
        <w:lastRenderedPageBreak/>
        <w:t>Barambangan</w:t>
      </w:r>
      <w:r>
        <w:rPr>
          <w:rStyle w:val="fontstyle01"/>
          <w:rFonts w:ascii="Garamond" w:hAnsi="Garamond"/>
        </w:rPr>
        <w:t xml:space="preserve"> sebagaimana telah dijelaskan sebelumnya, dapat dianalisa dengan teori</w:t>
      </w:r>
      <w:r>
        <w:rPr>
          <w:rStyle w:val="fontstyle01"/>
          <w:rFonts w:ascii="Garamond" w:hAnsi="Garamond"/>
        </w:rPr>
        <w:t xml:space="preserve"> Learned Helplessness. Perempuan tersebut sering dianiaya oleh pasangannya, tetapi ia tidak memiliki kekuatan untuk melawan ataupun menghentikan perbuatan pasanganya. Hal ini menimbulkan sikap pasrah dalam dirinya dengan harapan kosong, sampai akhirnya ia </w:t>
      </w:r>
      <w:r>
        <w:rPr>
          <w:rStyle w:val="fontstyle01"/>
          <w:rFonts w:ascii="Garamond" w:hAnsi="Garamond"/>
        </w:rPr>
        <w:t xml:space="preserve">menyerah. Sejalan dengan itu, menurut teori Psychological Entrapment perempuan dalam kondisi </w:t>
      </w:r>
      <w:r>
        <w:rPr>
          <w:rStyle w:val="fontstyle01"/>
          <w:rFonts w:ascii="Garamond" w:hAnsi="Garamond"/>
          <w:i/>
          <w:iCs/>
        </w:rPr>
        <w:t>Barambangan</w:t>
      </w:r>
      <w:r>
        <w:rPr>
          <w:rStyle w:val="fontstyle01"/>
          <w:rFonts w:ascii="Garamond" w:hAnsi="Garamond"/>
        </w:rPr>
        <w:t xml:space="preserve"> ini telah banyak mengorbankan segala yang dia punya untuk kehidupan rumah tangganya. Akan tetapi kenyataan tidak sesuai dengan harapannya. Sehingga ia </w:t>
      </w:r>
      <w:r>
        <w:rPr>
          <w:rStyle w:val="fontstyle01"/>
          <w:rFonts w:ascii="Garamond" w:hAnsi="Garamond"/>
        </w:rPr>
        <w:t>hanya menjalani kehidupan dengan berusaha mempertahankan rumah tangganya.</w:t>
      </w:r>
    </w:p>
    <w:p w:rsidR="0053678A" w:rsidRDefault="001057F2">
      <w:pPr>
        <w:pStyle w:val="BodyText"/>
        <w:spacing w:after="40"/>
        <w:ind w:firstLine="567"/>
        <w:rPr>
          <w:rStyle w:val="fontstyle01"/>
        </w:rPr>
      </w:pPr>
      <w:r>
        <w:rPr>
          <w:rStyle w:val="fontstyle01"/>
          <w:rFonts w:ascii="Garamond" w:hAnsi="Garamond"/>
        </w:rPr>
        <w:t xml:space="preserve">Berdasarkan pembahasan di atas, tradisi </w:t>
      </w:r>
      <w:r>
        <w:rPr>
          <w:rStyle w:val="fontstyle01"/>
          <w:rFonts w:ascii="Garamond" w:hAnsi="Garamond"/>
          <w:i/>
          <w:iCs/>
        </w:rPr>
        <w:t>Barambangan</w:t>
      </w:r>
      <w:r>
        <w:rPr>
          <w:rStyle w:val="fontstyle01"/>
          <w:rFonts w:ascii="Garamond" w:hAnsi="Garamond"/>
        </w:rPr>
        <w:t xml:space="preserve"> yang bersumber dari perkara 18 UUSA mengadopsi system hukum Islam dan hukum Adat. Slanjutnya, Tradisi </w:t>
      </w:r>
      <w:r>
        <w:rPr>
          <w:rStyle w:val="fontstyle01"/>
          <w:rFonts w:ascii="Garamond" w:hAnsi="Garamond"/>
          <w:i/>
          <w:iCs/>
        </w:rPr>
        <w:t>Barambangan</w:t>
      </w:r>
      <w:r>
        <w:rPr>
          <w:rStyle w:val="fontstyle01"/>
          <w:rFonts w:ascii="Garamond" w:hAnsi="Garamond"/>
        </w:rPr>
        <w:t xml:space="preserve"> ini muncul sebag</w:t>
      </w:r>
      <w:r>
        <w:rPr>
          <w:rStyle w:val="fontstyle01"/>
          <w:rFonts w:ascii="Garamond" w:hAnsi="Garamond"/>
        </w:rPr>
        <w:t xml:space="preserve">ai perlindungan hukum seorang perempuan dari paksaan serta kekerasan ketika terjadi konflik. Oleh karena itu, tradisi </w:t>
      </w:r>
      <w:r>
        <w:rPr>
          <w:rStyle w:val="fontstyle01"/>
          <w:rFonts w:ascii="Garamond" w:hAnsi="Garamond"/>
          <w:i/>
          <w:iCs/>
        </w:rPr>
        <w:t>Barambangan</w:t>
      </w:r>
      <w:r>
        <w:rPr>
          <w:rStyle w:val="fontstyle01"/>
          <w:rFonts w:ascii="Garamond" w:hAnsi="Garamond"/>
        </w:rPr>
        <w:t xml:space="preserve"> ini sangat tepat untuk disebut sebagai pencegahan tindak kekerasan terhadap perempuan. Hal ini dibuktikan dengan hasil analisa</w:t>
      </w:r>
      <w:r>
        <w:rPr>
          <w:rStyle w:val="fontstyle01"/>
          <w:rFonts w:ascii="Garamond" w:hAnsi="Garamond"/>
        </w:rPr>
        <w:t xml:space="preserve"> menggunakan teori perlindungan hukum. Selain itu, Tradisi </w:t>
      </w:r>
      <w:r>
        <w:rPr>
          <w:rStyle w:val="fontstyle01"/>
          <w:rFonts w:ascii="Garamond" w:hAnsi="Garamond"/>
          <w:i/>
          <w:iCs/>
        </w:rPr>
        <w:t>Barambangan</w:t>
      </w:r>
      <w:r>
        <w:rPr>
          <w:rStyle w:val="fontstyle01"/>
          <w:rFonts w:ascii="Garamond" w:hAnsi="Garamond"/>
        </w:rPr>
        <w:t xml:space="preserve"> ini </w:t>
      </w:r>
      <w:r>
        <w:rPr>
          <w:rStyle w:val="fontstyle01"/>
          <w:rFonts w:ascii="Garamond" w:hAnsi="Garamond"/>
        </w:rPr>
        <w:lastRenderedPageBreak/>
        <w:t xml:space="preserve">juga mengandung cara penyelesaian konflik antara suami istri yang </w:t>
      </w:r>
      <w:r>
        <w:rPr>
          <w:rStyle w:val="fontstyle01"/>
          <w:rFonts w:ascii="Garamond" w:hAnsi="Garamond"/>
          <w:i/>
          <w:iCs/>
        </w:rPr>
        <w:t>Barambangan</w:t>
      </w:r>
      <w:r>
        <w:rPr>
          <w:rStyle w:val="fontstyle01"/>
          <w:rFonts w:ascii="Garamond" w:hAnsi="Garamond"/>
        </w:rPr>
        <w:t>.</w:t>
      </w:r>
    </w:p>
    <w:p w:rsidR="0053678A" w:rsidRDefault="001057F2">
      <w:pPr>
        <w:pStyle w:val="BodyText"/>
        <w:spacing w:before="240" w:after="40" w:line="276" w:lineRule="auto"/>
        <w:ind w:firstLine="0"/>
        <w:rPr>
          <w:rFonts w:ascii="Garamond" w:hAnsi="Garamond"/>
          <w:b/>
          <w:bCs/>
          <w:color w:val="000000"/>
          <w:spacing w:val="0"/>
          <w:sz w:val="24"/>
          <w:szCs w:val="24"/>
        </w:rPr>
      </w:pPr>
      <w:r>
        <w:rPr>
          <w:rFonts w:ascii="Garamond" w:hAnsi="Garamond"/>
          <w:b/>
          <w:bCs/>
          <w:i/>
          <w:iCs/>
          <w:color w:val="000000"/>
          <w:spacing w:val="0"/>
          <w:sz w:val="24"/>
          <w:szCs w:val="24"/>
        </w:rPr>
        <w:t>Barambangan</w:t>
      </w:r>
      <w:r>
        <w:rPr>
          <w:rFonts w:ascii="Garamond" w:hAnsi="Garamond"/>
          <w:b/>
          <w:bCs/>
          <w:color w:val="000000"/>
          <w:spacing w:val="0"/>
          <w:sz w:val="24"/>
          <w:szCs w:val="24"/>
        </w:rPr>
        <w:t xml:space="preserve"> Tradition on Human Rights Perspective</w:t>
      </w:r>
    </w:p>
    <w:p w:rsidR="0053678A" w:rsidRDefault="001057F2">
      <w:pPr>
        <w:pStyle w:val="BodyText"/>
        <w:spacing w:after="40"/>
        <w:ind w:firstLine="567"/>
        <w:rPr>
          <w:rFonts w:ascii="Garamond" w:hAnsi="Garamond"/>
          <w:color w:val="242021"/>
          <w:spacing w:val="0"/>
          <w:sz w:val="24"/>
          <w:szCs w:val="24"/>
        </w:rPr>
      </w:pPr>
      <w:r>
        <w:rPr>
          <w:rFonts w:ascii="Garamond" w:hAnsi="Garamond"/>
          <w:sz w:val="24"/>
          <w:szCs w:val="24"/>
        </w:rPr>
        <w:t>Hak asasi manusia secara harfiah adalah hak yang dim</w:t>
      </w:r>
      <w:r>
        <w:rPr>
          <w:rFonts w:ascii="Garamond" w:hAnsi="Garamond"/>
          <w:sz w:val="24"/>
          <w:szCs w:val="24"/>
        </w:rPr>
        <w:t>iliki seseorang karena dia adalah manusia.</w:t>
      </w:r>
      <w:r>
        <w:rPr>
          <w:rStyle w:val="FootnoteReference"/>
          <w:rFonts w:ascii="Garamond" w:hAnsi="Garamond"/>
          <w:sz w:val="24"/>
          <w:szCs w:val="24"/>
        </w:rPr>
        <w:footnoteReference w:id="28"/>
      </w:r>
      <w:r>
        <w:rPr>
          <w:rFonts w:ascii="Garamond" w:hAnsi="Garamond"/>
          <w:sz w:val="24"/>
          <w:szCs w:val="24"/>
        </w:rPr>
        <w:t xml:space="preserve"> </w:t>
      </w:r>
      <w:r>
        <w:rPr>
          <w:rFonts w:ascii="Garamond" w:hAnsi="Garamond"/>
          <w:color w:val="242021"/>
          <w:spacing w:val="0"/>
          <w:sz w:val="24"/>
          <w:szCs w:val="24"/>
        </w:rPr>
        <w:t>Ada banyak definisi dan konsepsi tentang hak asasi manusia. Dalam konsensus global, hak asasi manusia mengacu pada kebebasan, keadilan, dan persamaan.</w:t>
      </w:r>
      <w:r>
        <w:rPr>
          <w:rStyle w:val="FootnoteReference"/>
          <w:rFonts w:ascii="Garamond" w:hAnsi="Garamond"/>
          <w:color w:val="242021"/>
          <w:spacing w:val="0"/>
          <w:sz w:val="24"/>
          <w:szCs w:val="24"/>
        </w:rPr>
        <w:footnoteReference w:id="29"/>
      </w:r>
      <w:r>
        <w:rPr>
          <w:rFonts w:ascii="Garamond" w:hAnsi="Garamond"/>
          <w:color w:val="242021"/>
          <w:spacing w:val="0"/>
          <w:sz w:val="24"/>
          <w:szCs w:val="24"/>
        </w:rPr>
        <w:t xml:space="preserve"> Sumber utama dari konsepsi hak asasi manusia kontemporer </w:t>
      </w:r>
      <w:r>
        <w:rPr>
          <w:rFonts w:ascii="Garamond" w:hAnsi="Garamond"/>
          <w:color w:val="242021"/>
          <w:spacing w:val="0"/>
          <w:sz w:val="24"/>
          <w:szCs w:val="24"/>
        </w:rPr>
        <w:t>adalah Deklarasi Universal Hak Asasi Manusia UDHR, termasuk; Hak untuk hidup, -Kebebasan berpikir, berpendapat, dan beragama, - Hak atas pengadilan yang adil dan persamaan di depan hukum, - Hak untuk bekerja dan pendidikan - Kebebasan dari penyiksaan dan p</w:t>
      </w:r>
      <w:r>
        <w:rPr>
          <w:rFonts w:ascii="Garamond" w:hAnsi="Garamond"/>
          <w:color w:val="242021"/>
          <w:spacing w:val="0"/>
          <w:sz w:val="24"/>
          <w:szCs w:val="24"/>
        </w:rPr>
        <w:t>enangkapan sewenang-wenang - Hak untuk berpartisipasi dalam pergaulan , kehidupan politik dan budaya negara seseorang.</w:t>
      </w:r>
    </w:p>
    <w:p w:rsidR="0053678A" w:rsidRDefault="001057F2">
      <w:pPr>
        <w:pStyle w:val="BodyText"/>
        <w:spacing w:after="40"/>
        <w:ind w:firstLine="567"/>
        <w:rPr>
          <w:rFonts w:ascii="Garamond" w:hAnsi="Garamond"/>
          <w:color w:val="000000"/>
          <w:spacing w:val="0"/>
          <w:sz w:val="24"/>
          <w:szCs w:val="24"/>
        </w:rPr>
      </w:pPr>
      <w:r>
        <w:rPr>
          <w:rFonts w:ascii="Garamond" w:hAnsi="Garamond"/>
          <w:color w:val="242021"/>
          <w:spacing w:val="0"/>
          <w:sz w:val="24"/>
          <w:szCs w:val="24"/>
        </w:rPr>
        <w:t xml:space="preserve"> Indonesia telah meratifikasi UDHR menjadi </w:t>
      </w:r>
      <w:r>
        <w:rPr>
          <w:rFonts w:ascii="Garamond" w:hAnsi="Garamond"/>
          <w:color w:val="000000"/>
          <w:spacing w:val="0"/>
          <w:sz w:val="24"/>
          <w:szCs w:val="24"/>
        </w:rPr>
        <w:t>UU No. 39 Tahun 1999 Tentang Hak Asasi Manusia. Selain itu, Indonesia juga telah amandemen kon</w:t>
      </w:r>
      <w:r>
        <w:rPr>
          <w:rFonts w:ascii="Garamond" w:hAnsi="Garamond"/>
          <w:color w:val="000000"/>
          <w:spacing w:val="0"/>
          <w:sz w:val="24"/>
          <w:szCs w:val="24"/>
        </w:rPr>
        <w:t>stitusi (UUD 1945) untuk memasukkan HAM dengan bab tersendiri dan mencakup bidang sipil, politik, ekonomi, sosial dan budaya.</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UU No. 39 Tahun 1999 Tentang Hak Asasi Manusia mendefinisikan HAM </w:t>
      </w:r>
      <w:r>
        <w:rPr>
          <w:rFonts w:ascii="Garamond" w:hAnsi="Garamond"/>
          <w:color w:val="000000"/>
          <w:spacing w:val="0"/>
          <w:sz w:val="24"/>
          <w:szCs w:val="24"/>
        </w:rPr>
        <w:lastRenderedPageBreak/>
        <w:t>sebagai perangkat hak yang melekat pada hakikat dan keberadaan m</w:t>
      </w:r>
      <w:r>
        <w:rPr>
          <w:rFonts w:ascii="Garamond" w:hAnsi="Garamond"/>
          <w:color w:val="000000"/>
          <w:spacing w:val="0"/>
          <w:sz w:val="24"/>
          <w:szCs w:val="24"/>
        </w:rPr>
        <w:t>anusia sebagai makhluk Tuhan Yang Maha Esa dan merupakan anugerahNya yang wajib dihormati, dijunjung tinggi dan dilindungi oleh negara, hukum, pemerintah dan setiap orang demi kehormatan serta perlindungan harkat dan martabat manusia.</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Perempuan sebagai sua</w:t>
      </w:r>
      <w:r>
        <w:rPr>
          <w:rFonts w:ascii="Garamond" w:hAnsi="Garamond"/>
          <w:color w:val="000000"/>
          <w:spacing w:val="0"/>
          <w:sz w:val="24"/>
          <w:szCs w:val="24"/>
        </w:rPr>
        <w:t>tu kelompok masyarakat di dalam suatu negara, merupakan kelompok yang juga wajib mendapatkan jaminan atas hak-hak asasi yang dimilikinya. UDHR tidak menyatakan secara eksplisit tentang adanya jaminan hak asasi terhadap perempuan. Namun, pada pasal 2 UDHR m</w:t>
      </w:r>
      <w:r>
        <w:rPr>
          <w:rFonts w:ascii="Garamond" w:hAnsi="Garamond"/>
          <w:color w:val="000000"/>
          <w:spacing w:val="0"/>
          <w:sz w:val="24"/>
          <w:szCs w:val="24"/>
        </w:rPr>
        <w:t>enyatakan bahwa Setiap orang berhak atas semua hak dan kebebasan tanpa perbedaan apapun. seperti ras, warna kulit, jenis kelamin, bahasa, agama, politik atau pendapat lain, asal kebangsaan atau sosial, properti, kelahiran atau status lainnya..</w:t>
      </w:r>
    </w:p>
    <w:p w:rsidR="0053678A" w:rsidRDefault="001057F2">
      <w:pPr>
        <w:pStyle w:val="BodyText"/>
        <w:spacing w:after="40"/>
        <w:ind w:firstLine="567"/>
        <w:rPr>
          <w:rFonts w:ascii="Garamond" w:hAnsi="Garamond"/>
          <w:color w:val="242021"/>
          <w:spacing w:val="0"/>
          <w:sz w:val="24"/>
          <w:szCs w:val="24"/>
        </w:rPr>
      </w:pPr>
      <w:r>
        <w:rPr>
          <w:rFonts w:ascii="Garamond" w:hAnsi="Garamond"/>
          <w:color w:val="242021"/>
          <w:spacing w:val="0"/>
          <w:sz w:val="24"/>
          <w:szCs w:val="24"/>
        </w:rPr>
        <w:t>Di Indonesia</w:t>
      </w:r>
      <w:r>
        <w:rPr>
          <w:rFonts w:ascii="Garamond" w:hAnsi="Garamond"/>
          <w:color w:val="242021"/>
          <w:spacing w:val="0"/>
          <w:sz w:val="24"/>
          <w:szCs w:val="24"/>
        </w:rPr>
        <w:t>, jaminan atas hak asasi perempuan  dapat ditemui dalam undang-undang No. 7 Tahun 1984 tentang penghapusan diskriminasi terhadap perempuan. Di dalam undang-undang tersebut terdapat pernyataan bahwa negara akan melakukan upaya semaksimal mungkin untuk mengh</w:t>
      </w:r>
      <w:r>
        <w:rPr>
          <w:rFonts w:ascii="Garamond" w:hAnsi="Garamond"/>
          <w:color w:val="242021"/>
          <w:spacing w:val="0"/>
          <w:sz w:val="24"/>
          <w:szCs w:val="24"/>
        </w:rPr>
        <w:t xml:space="preserve">apuskan segala bentuk diskriminasi terhadap perempuan, </w:t>
      </w:r>
      <w:r>
        <w:rPr>
          <w:rFonts w:ascii="Garamond" w:hAnsi="Garamond"/>
          <w:color w:val="242021"/>
          <w:spacing w:val="0"/>
          <w:sz w:val="24"/>
          <w:szCs w:val="24"/>
        </w:rPr>
        <w:lastRenderedPageBreak/>
        <w:t>termasuk adanya kekerasan terhadap perempuan.</w:t>
      </w:r>
    </w:p>
    <w:p w:rsidR="0053678A" w:rsidRDefault="001057F2">
      <w:pPr>
        <w:pStyle w:val="BodyText"/>
        <w:spacing w:after="40"/>
        <w:ind w:firstLine="567"/>
        <w:rPr>
          <w:rFonts w:ascii="Garamond" w:hAnsi="Garamond"/>
          <w:color w:val="242021"/>
          <w:spacing w:val="0"/>
          <w:sz w:val="24"/>
          <w:szCs w:val="24"/>
        </w:rPr>
      </w:pPr>
      <w:r>
        <w:rPr>
          <w:rFonts w:ascii="Garamond" w:hAnsi="Garamond"/>
          <w:color w:val="242021"/>
          <w:spacing w:val="0"/>
          <w:sz w:val="24"/>
          <w:szCs w:val="24"/>
        </w:rPr>
        <w:t>Dalam beberapa kajian dan pengaturan konvensi internasional, perempuan dimasukkan ke dalam kelompok vulnerable, bersamaan dengan kelompok rentan lainnya. P</w:t>
      </w:r>
      <w:r>
        <w:rPr>
          <w:rFonts w:ascii="Garamond" w:hAnsi="Garamond"/>
          <w:color w:val="242021"/>
          <w:spacing w:val="0"/>
          <w:sz w:val="24"/>
          <w:szCs w:val="24"/>
        </w:rPr>
        <w:t>erempuan dimasukkan ke dalam kelompok yang lemah, dan tak terlindungi. Hal itu karena perempuan selalu berada dalam keadaan yang penuh resiko, serta sangat rentan terhadap bahaya. Salah satu bahaya itu adalah adanya kekerasan yang dating dari kelompok lain</w:t>
      </w:r>
      <w:r>
        <w:rPr>
          <w:rFonts w:ascii="Garamond" w:hAnsi="Garamond"/>
          <w:color w:val="242021"/>
          <w:spacing w:val="0"/>
          <w:sz w:val="24"/>
          <w:szCs w:val="24"/>
        </w:rPr>
        <w:t>.</w:t>
      </w:r>
      <w:r>
        <w:rPr>
          <w:rStyle w:val="FootnoteReference"/>
          <w:rFonts w:ascii="Garamond" w:hAnsi="Garamond"/>
          <w:color w:val="242021"/>
          <w:spacing w:val="0"/>
          <w:sz w:val="24"/>
          <w:szCs w:val="24"/>
        </w:rPr>
        <w:footnoteReference w:id="30"/>
      </w:r>
      <w:r>
        <w:rPr>
          <w:rFonts w:ascii="Garamond" w:hAnsi="Garamond"/>
          <w:color w:val="242021"/>
          <w:spacing w:val="0"/>
          <w:sz w:val="24"/>
          <w:szCs w:val="24"/>
        </w:rPr>
        <w:t xml:space="preserve"> 4</w:t>
      </w:r>
    </w:p>
    <w:p w:rsidR="0053678A" w:rsidRDefault="001057F2">
      <w:pPr>
        <w:pStyle w:val="BodyText"/>
        <w:spacing w:after="40"/>
        <w:ind w:firstLine="567"/>
        <w:rPr>
          <w:rFonts w:ascii="Garamond" w:hAnsi="Garamond"/>
          <w:color w:val="242021"/>
          <w:spacing w:val="0"/>
          <w:sz w:val="24"/>
          <w:szCs w:val="24"/>
        </w:rPr>
      </w:pPr>
      <w:r>
        <w:rPr>
          <w:rFonts w:ascii="Garamond" w:hAnsi="Garamond"/>
          <w:color w:val="242021"/>
          <w:spacing w:val="0"/>
          <w:sz w:val="24"/>
          <w:szCs w:val="24"/>
        </w:rPr>
        <w:t xml:space="preserve">Tradisi </w:t>
      </w:r>
      <w:r>
        <w:rPr>
          <w:rFonts w:ascii="Garamond" w:hAnsi="Garamond"/>
          <w:i/>
          <w:iCs/>
          <w:color w:val="242021"/>
          <w:spacing w:val="0"/>
          <w:sz w:val="24"/>
          <w:szCs w:val="24"/>
        </w:rPr>
        <w:t>Barambangan</w:t>
      </w:r>
      <w:r>
        <w:rPr>
          <w:rFonts w:ascii="Garamond" w:hAnsi="Garamond"/>
          <w:color w:val="242021"/>
          <w:spacing w:val="0"/>
          <w:sz w:val="24"/>
          <w:szCs w:val="24"/>
        </w:rPr>
        <w:t xml:space="preserve"> tentunya perlu pengkajian dengan perspektif HAM. Hal itu karena Tradisi </w:t>
      </w:r>
      <w:r>
        <w:rPr>
          <w:rFonts w:ascii="Garamond" w:hAnsi="Garamond"/>
          <w:i/>
          <w:iCs/>
          <w:color w:val="242021"/>
          <w:spacing w:val="0"/>
          <w:sz w:val="24"/>
          <w:szCs w:val="24"/>
        </w:rPr>
        <w:t>Barambangan</w:t>
      </w:r>
      <w:r>
        <w:rPr>
          <w:rFonts w:ascii="Garamond" w:hAnsi="Garamond"/>
          <w:color w:val="242021"/>
          <w:spacing w:val="0"/>
          <w:sz w:val="24"/>
          <w:szCs w:val="24"/>
        </w:rPr>
        <w:t xml:space="preserve"> ini muncul sebagai pencegahan tindak kekerasan terhadap perempuan. </w:t>
      </w:r>
    </w:p>
    <w:p w:rsidR="0053678A" w:rsidRDefault="001057F2">
      <w:pPr>
        <w:pStyle w:val="BodyText"/>
        <w:spacing w:after="40"/>
        <w:ind w:firstLine="567"/>
        <w:rPr>
          <w:rFonts w:ascii="Garamond" w:hAnsi="Garamond"/>
          <w:color w:val="000000"/>
          <w:spacing w:val="0"/>
          <w:sz w:val="24"/>
          <w:szCs w:val="24"/>
        </w:rPr>
      </w:pPr>
      <w:r>
        <w:rPr>
          <w:rFonts w:ascii="Garamond" w:hAnsi="Garamond"/>
          <w:color w:val="242021"/>
          <w:spacing w:val="0"/>
          <w:sz w:val="24"/>
          <w:szCs w:val="24"/>
        </w:rPr>
        <w:t xml:space="preserve">Sebagaimana telah dibahas sebelumnya, bahwa tradisi </w:t>
      </w:r>
      <w:r>
        <w:rPr>
          <w:rFonts w:ascii="Garamond" w:hAnsi="Garamond"/>
          <w:i/>
          <w:iCs/>
          <w:color w:val="242021"/>
          <w:spacing w:val="0"/>
          <w:sz w:val="24"/>
          <w:szCs w:val="24"/>
        </w:rPr>
        <w:t>Barambangan</w:t>
      </w:r>
      <w:r>
        <w:rPr>
          <w:rFonts w:ascii="Garamond" w:hAnsi="Garamond"/>
          <w:color w:val="242021"/>
          <w:spacing w:val="0"/>
          <w:sz w:val="24"/>
          <w:szCs w:val="24"/>
        </w:rPr>
        <w:t xml:space="preserve"> merupakan suatu</w:t>
      </w:r>
      <w:r>
        <w:rPr>
          <w:rFonts w:ascii="Garamond" w:hAnsi="Garamond"/>
          <w:color w:val="242021"/>
          <w:spacing w:val="0"/>
          <w:sz w:val="24"/>
          <w:szCs w:val="24"/>
        </w:rPr>
        <w:t xml:space="preserve"> keadaan yang terjadi akibat konflik antara suami istri, sehingga mereka berpisah tempat tinggal dan tidak berinteraksi satu sama lain. Selanjutnya, dalam tradisi </w:t>
      </w:r>
      <w:r>
        <w:rPr>
          <w:rFonts w:ascii="Garamond" w:hAnsi="Garamond"/>
          <w:i/>
          <w:iCs/>
          <w:color w:val="242021"/>
          <w:spacing w:val="0"/>
          <w:sz w:val="24"/>
          <w:szCs w:val="24"/>
        </w:rPr>
        <w:t>Barambangan</w:t>
      </w:r>
      <w:r>
        <w:rPr>
          <w:rFonts w:ascii="Garamond" w:hAnsi="Garamond"/>
          <w:color w:val="242021"/>
          <w:spacing w:val="0"/>
          <w:sz w:val="24"/>
          <w:szCs w:val="24"/>
        </w:rPr>
        <w:t xml:space="preserve"> terdapat larangan terhadap suami untuk memegang istrinya jika mereka belum berdam</w:t>
      </w:r>
      <w:r>
        <w:rPr>
          <w:rFonts w:ascii="Garamond" w:hAnsi="Garamond"/>
          <w:color w:val="242021"/>
          <w:spacing w:val="0"/>
          <w:sz w:val="24"/>
          <w:szCs w:val="24"/>
        </w:rPr>
        <w:t xml:space="preserve">ai. Hal ini menunjukkan bahwa dalam tradisi </w:t>
      </w:r>
      <w:r>
        <w:rPr>
          <w:rFonts w:ascii="Garamond" w:hAnsi="Garamond"/>
          <w:i/>
          <w:iCs/>
          <w:color w:val="242021"/>
          <w:spacing w:val="0"/>
          <w:sz w:val="24"/>
          <w:szCs w:val="24"/>
        </w:rPr>
        <w:t>Barambangan</w:t>
      </w:r>
      <w:r>
        <w:rPr>
          <w:rFonts w:ascii="Garamond" w:hAnsi="Garamond"/>
          <w:color w:val="242021"/>
          <w:spacing w:val="0"/>
          <w:sz w:val="24"/>
          <w:szCs w:val="24"/>
        </w:rPr>
        <w:t xml:space="preserve"> tidak menghendaki adanya kekerasan terhadap wanita. Oleh karena itu, </w:t>
      </w:r>
      <w:r>
        <w:rPr>
          <w:rFonts w:ascii="Garamond" w:hAnsi="Garamond"/>
          <w:color w:val="242021"/>
          <w:spacing w:val="0"/>
          <w:sz w:val="24"/>
          <w:szCs w:val="24"/>
        </w:rPr>
        <w:lastRenderedPageBreak/>
        <w:t xml:space="preserve">tradisi </w:t>
      </w:r>
      <w:r>
        <w:rPr>
          <w:rFonts w:ascii="Garamond" w:hAnsi="Garamond"/>
          <w:i/>
          <w:iCs/>
          <w:color w:val="242021"/>
          <w:spacing w:val="0"/>
          <w:sz w:val="24"/>
          <w:szCs w:val="24"/>
        </w:rPr>
        <w:t>Barambangan</w:t>
      </w:r>
      <w:r>
        <w:rPr>
          <w:rFonts w:ascii="Garamond" w:hAnsi="Garamond"/>
          <w:color w:val="242021"/>
          <w:spacing w:val="0"/>
          <w:sz w:val="24"/>
          <w:szCs w:val="24"/>
        </w:rPr>
        <w:t xml:space="preserve"> ini tidak menyalahi aturan HAM yang tercantum pada </w:t>
      </w:r>
      <w:r>
        <w:rPr>
          <w:rFonts w:ascii="Garamond" w:hAnsi="Garamond"/>
          <w:color w:val="000000"/>
          <w:spacing w:val="0"/>
          <w:sz w:val="24"/>
          <w:szCs w:val="24"/>
        </w:rPr>
        <w:t>pasal 2 UDHR. Pasal tersebut menyatakan bahwa Setiap orang b</w:t>
      </w:r>
      <w:r>
        <w:rPr>
          <w:rFonts w:ascii="Garamond" w:hAnsi="Garamond"/>
          <w:color w:val="000000"/>
          <w:spacing w:val="0"/>
          <w:sz w:val="24"/>
          <w:szCs w:val="24"/>
        </w:rPr>
        <w:t>erhak atas semua hak dan kebebasan tanpa perbedaan apapun.</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 xml:space="preserve">Pada diktum terakir perkara 18 UUSA, terdapat penunjukkan posisi perempuan sebagai orang yang tidak mau diajak berdamai. Bunyi diktum terakhir perkara 18 UUSA tentang </w:t>
      </w:r>
      <w:r>
        <w:rPr>
          <w:rFonts w:ascii="Garamond" w:hAnsi="Garamond"/>
          <w:i/>
          <w:iCs/>
          <w:color w:val="000000"/>
          <w:spacing w:val="0"/>
          <w:sz w:val="24"/>
          <w:szCs w:val="24"/>
        </w:rPr>
        <w:t>Barambangan</w:t>
      </w:r>
      <w:r>
        <w:rPr>
          <w:rFonts w:ascii="Garamond" w:hAnsi="Garamond"/>
          <w:color w:val="000000"/>
          <w:spacing w:val="0"/>
          <w:sz w:val="24"/>
          <w:szCs w:val="24"/>
        </w:rPr>
        <w:t xml:space="preserve"> ini berbunyi “</w:t>
      </w:r>
      <w:r>
        <w:rPr>
          <w:rFonts w:ascii="Garamond" w:hAnsi="Garamond"/>
          <w:i/>
          <w:iCs/>
          <w:color w:val="000000"/>
          <w:spacing w:val="0"/>
          <w:sz w:val="24"/>
          <w:szCs w:val="24"/>
        </w:rPr>
        <w:t>pada</w:t>
      </w:r>
      <w:r>
        <w:rPr>
          <w:rFonts w:ascii="Garamond" w:hAnsi="Garamond"/>
          <w:i/>
          <w:iCs/>
          <w:color w:val="000000"/>
          <w:spacing w:val="0"/>
          <w:sz w:val="24"/>
          <w:szCs w:val="24"/>
        </w:rPr>
        <w:t xml:space="preserve"> hal perampoean itoe keras tiada maoe berkabaikan lagi maka padahkan kajah diakoe”.</w:t>
      </w:r>
      <w:r>
        <w:rPr>
          <w:rFonts w:ascii="Garamond" w:hAnsi="Garamond"/>
          <w:color w:val="000000"/>
          <w:spacing w:val="0"/>
          <w:sz w:val="24"/>
          <w:szCs w:val="24"/>
        </w:rPr>
        <w:t xml:space="preserve"> Diktum tersebut terlihat menekankan perkara kepada perempuan</w:t>
      </w:r>
    </w:p>
    <w:p w:rsidR="0053678A" w:rsidRDefault="001057F2">
      <w:pPr>
        <w:pStyle w:val="BodyText"/>
        <w:spacing w:after="40"/>
        <w:ind w:firstLine="567"/>
        <w:rPr>
          <w:rFonts w:ascii="Garamond" w:hAnsi="Garamond"/>
          <w:color w:val="000000"/>
          <w:spacing w:val="0"/>
          <w:sz w:val="24"/>
          <w:szCs w:val="24"/>
        </w:rPr>
      </w:pPr>
      <w:r>
        <w:rPr>
          <w:rFonts w:ascii="Garamond" w:hAnsi="Garamond"/>
          <w:color w:val="000000"/>
          <w:spacing w:val="0"/>
          <w:sz w:val="24"/>
          <w:szCs w:val="24"/>
        </w:rPr>
        <w:t>Dalam hal ini, diktum terakhir perkara 18 UUSA mengandung unsur diskriminasi. Karena perkara 18 UUSA menunjukka</w:t>
      </w:r>
      <w:r>
        <w:rPr>
          <w:rFonts w:ascii="Garamond" w:hAnsi="Garamond"/>
          <w:color w:val="000000"/>
          <w:spacing w:val="0"/>
          <w:sz w:val="24"/>
          <w:szCs w:val="24"/>
        </w:rPr>
        <w:t>n bahwa hanya perempuan yang tidak mau untuk berdamai. Sedangkan hal tersebut tidak terjadi pada laki-laki. Unsur diskriminasi ini menyalahi ketentuan HAM yang berbunyi Everyone is entitled to all the rights and freedoms without distinction of any kind.</w:t>
      </w:r>
    </w:p>
    <w:p w:rsidR="0053678A" w:rsidRDefault="001057F2">
      <w:pPr>
        <w:pStyle w:val="BodyText"/>
        <w:spacing w:after="40"/>
        <w:ind w:firstLine="567"/>
        <w:rPr>
          <w:rFonts w:ascii="Garamond" w:hAnsi="Garamond"/>
          <w:color w:val="242021"/>
          <w:spacing w:val="0"/>
          <w:sz w:val="24"/>
          <w:szCs w:val="24"/>
        </w:rPr>
      </w:pPr>
      <w:r>
        <w:rPr>
          <w:rFonts w:ascii="Garamond" w:hAnsi="Garamond"/>
          <w:color w:val="000000"/>
          <w:spacing w:val="0"/>
          <w:sz w:val="24"/>
          <w:szCs w:val="24"/>
        </w:rPr>
        <w:t>Ov</w:t>
      </w:r>
      <w:r>
        <w:rPr>
          <w:rFonts w:ascii="Garamond" w:hAnsi="Garamond"/>
          <w:color w:val="000000"/>
          <w:spacing w:val="0"/>
          <w:sz w:val="24"/>
          <w:szCs w:val="24"/>
        </w:rPr>
        <w:t xml:space="preserve">erall, tradisi </w:t>
      </w:r>
      <w:r>
        <w:rPr>
          <w:rFonts w:ascii="Garamond" w:hAnsi="Garamond"/>
          <w:i/>
          <w:iCs/>
          <w:color w:val="000000"/>
          <w:spacing w:val="0"/>
          <w:sz w:val="24"/>
          <w:szCs w:val="24"/>
        </w:rPr>
        <w:t>Barambangan</w:t>
      </w:r>
      <w:r>
        <w:rPr>
          <w:rFonts w:ascii="Garamond" w:hAnsi="Garamond"/>
          <w:color w:val="000000"/>
          <w:spacing w:val="0"/>
          <w:sz w:val="24"/>
          <w:szCs w:val="24"/>
        </w:rPr>
        <w:t xml:space="preserve"> ini telah berusaha untuk mencegah terjadinya tindak kekerasan terhadap perempuan.  Sehingga tidak terjadi pelanggaran HAM. Tata cara penyelesaian sengketa dalam tradisi </w:t>
      </w:r>
      <w:r>
        <w:rPr>
          <w:rFonts w:ascii="Garamond" w:hAnsi="Garamond"/>
          <w:i/>
          <w:iCs/>
          <w:color w:val="000000"/>
          <w:spacing w:val="0"/>
          <w:sz w:val="24"/>
          <w:szCs w:val="24"/>
        </w:rPr>
        <w:t>Barambangan</w:t>
      </w:r>
      <w:r>
        <w:rPr>
          <w:rFonts w:ascii="Garamond" w:hAnsi="Garamond"/>
          <w:color w:val="000000"/>
          <w:spacing w:val="0"/>
          <w:sz w:val="24"/>
          <w:szCs w:val="24"/>
        </w:rPr>
        <w:t xml:space="preserve"> juga telah memenuhi standar, </w:t>
      </w:r>
      <w:r>
        <w:rPr>
          <w:rFonts w:ascii="Garamond" w:hAnsi="Garamond"/>
          <w:color w:val="000000"/>
          <w:spacing w:val="0"/>
          <w:sz w:val="24"/>
          <w:szCs w:val="24"/>
        </w:rPr>
        <w:lastRenderedPageBreak/>
        <w:t>baik dari perspekti</w:t>
      </w:r>
      <w:r>
        <w:rPr>
          <w:rFonts w:ascii="Garamond" w:hAnsi="Garamond"/>
          <w:color w:val="000000"/>
          <w:spacing w:val="0"/>
          <w:sz w:val="24"/>
          <w:szCs w:val="24"/>
        </w:rPr>
        <w:t>f hukum Islam maupun hukum Adat.</w:t>
      </w:r>
    </w:p>
    <w:p w:rsidR="0053678A" w:rsidRDefault="001057F2">
      <w:pPr>
        <w:tabs>
          <w:tab w:val="left" w:pos="3315"/>
          <w:tab w:val="center" w:pos="4820"/>
        </w:tabs>
        <w:spacing w:before="240" w:after="40"/>
        <w:jc w:val="left"/>
        <w:rPr>
          <w:rFonts w:ascii="Garamond" w:hAnsi="Garamond"/>
          <w:b/>
        </w:rPr>
      </w:pPr>
      <w:r>
        <w:rPr>
          <w:rFonts w:ascii="Garamond" w:hAnsi="Garamond"/>
          <w:b/>
          <w:sz w:val="28"/>
          <w:szCs w:val="28"/>
          <w:lang w:val="id-ID"/>
        </w:rPr>
        <w:t>PENUTUP</w:t>
      </w:r>
    </w:p>
    <w:p w:rsidR="0053678A" w:rsidRDefault="001057F2">
      <w:pPr>
        <w:pStyle w:val="BodyText"/>
        <w:rPr>
          <w:rStyle w:val="fontstyle01"/>
          <w:rFonts w:ascii="Garamond" w:hAnsi="Garamond"/>
        </w:rPr>
      </w:pPr>
      <w:r>
        <w:rPr>
          <w:rStyle w:val="fontstyle01"/>
          <w:rFonts w:ascii="Garamond" w:hAnsi="Garamond"/>
        </w:rPr>
        <w:t xml:space="preserve">Tradisi </w:t>
      </w:r>
      <w:r>
        <w:rPr>
          <w:rStyle w:val="fontstyle01"/>
          <w:rFonts w:ascii="Garamond" w:hAnsi="Garamond"/>
          <w:i/>
          <w:iCs/>
        </w:rPr>
        <w:t>Barambangan</w:t>
      </w:r>
      <w:r>
        <w:rPr>
          <w:rStyle w:val="fontstyle01"/>
          <w:rFonts w:ascii="Garamond" w:hAnsi="Garamond"/>
        </w:rPr>
        <w:t xml:space="preserve"> sebagai pencegahan tindak kekerasan terhadap perempuan mengadopsi system hukum Islam dan hukum Adat. Selanjutnya, Tradisi </w:t>
      </w:r>
      <w:r>
        <w:rPr>
          <w:rStyle w:val="fontstyle01"/>
          <w:rFonts w:ascii="Garamond" w:hAnsi="Garamond"/>
          <w:i/>
          <w:iCs/>
        </w:rPr>
        <w:t>Barambangan</w:t>
      </w:r>
      <w:r>
        <w:rPr>
          <w:rStyle w:val="fontstyle01"/>
          <w:rFonts w:ascii="Garamond" w:hAnsi="Garamond"/>
        </w:rPr>
        <w:t xml:space="preserve"> ini muncul sebagai perlindungan hukum seorang perempuan dari </w:t>
      </w:r>
      <w:r>
        <w:rPr>
          <w:rStyle w:val="fontstyle01"/>
          <w:rFonts w:ascii="Garamond" w:hAnsi="Garamond"/>
        </w:rPr>
        <w:t xml:space="preserve">paksaan serta kekerasan ketika terjadi konflik. Hal ini dibuktikan dengan hasil analisa menggunakan teori perlindungan hukum. Selain itu, Tradisi </w:t>
      </w:r>
      <w:r>
        <w:rPr>
          <w:rStyle w:val="fontstyle01"/>
          <w:rFonts w:ascii="Garamond" w:hAnsi="Garamond"/>
          <w:i/>
          <w:iCs/>
        </w:rPr>
        <w:t>Barambangan</w:t>
      </w:r>
      <w:r>
        <w:rPr>
          <w:rStyle w:val="fontstyle01"/>
          <w:rFonts w:ascii="Garamond" w:hAnsi="Garamond"/>
        </w:rPr>
        <w:t xml:space="preserve"> ini juga mengandung tata cara penyelesaian konflik antara suami istri yang </w:t>
      </w:r>
      <w:r>
        <w:rPr>
          <w:rStyle w:val="fontstyle01"/>
          <w:rFonts w:ascii="Garamond" w:hAnsi="Garamond"/>
          <w:i/>
          <w:iCs/>
        </w:rPr>
        <w:t>Barambangan</w:t>
      </w:r>
      <w:r>
        <w:rPr>
          <w:rStyle w:val="fontstyle01"/>
          <w:rFonts w:ascii="Garamond" w:hAnsi="Garamond"/>
        </w:rPr>
        <w:t>.</w:t>
      </w:r>
    </w:p>
    <w:p w:rsidR="0053678A" w:rsidRDefault="001057F2">
      <w:pPr>
        <w:pStyle w:val="BodyText"/>
        <w:spacing w:after="40"/>
        <w:ind w:firstLine="0"/>
        <w:rPr>
          <w:rFonts w:ascii="Garamond" w:hAnsi="Garamond"/>
          <w:b/>
          <w:sz w:val="24"/>
          <w:szCs w:val="24"/>
        </w:rPr>
      </w:pPr>
      <w:r>
        <w:rPr>
          <w:rStyle w:val="fontstyle01"/>
          <w:rFonts w:ascii="Garamond" w:hAnsi="Garamond"/>
        </w:rPr>
        <w:t>Dalam pers</w:t>
      </w:r>
      <w:r>
        <w:rPr>
          <w:rStyle w:val="fontstyle01"/>
          <w:rFonts w:ascii="Garamond" w:hAnsi="Garamond"/>
        </w:rPr>
        <w:t xml:space="preserve">pektif HAM, Tradisi </w:t>
      </w:r>
      <w:r>
        <w:rPr>
          <w:rStyle w:val="fontstyle01"/>
          <w:rFonts w:ascii="Garamond" w:hAnsi="Garamond"/>
          <w:i/>
          <w:iCs/>
        </w:rPr>
        <w:t>Barambangan</w:t>
      </w:r>
      <w:r>
        <w:rPr>
          <w:rStyle w:val="fontstyle01"/>
          <w:rFonts w:ascii="Garamond" w:hAnsi="Garamond"/>
        </w:rPr>
        <w:t xml:space="preserve"> sebagai pencegahan tindak kekerasan terhadap perempuan telah memenuhi amanat HAM untuk mencegah tindak kekerasan terhadap perempuan. Akan tetapi, masih terdapat unsur diskriminatif dalam tradisi ini. Hal itu karena diktum pe</w:t>
      </w:r>
      <w:r>
        <w:rPr>
          <w:rStyle w:val="fontstyle01"/>
          <w:rFonts w:ascii="Garamond" w:hAnsi="Garamond"/>
        </w:rPr>
        <w:t>rkara 18 UUSA hanya menekankan perempuan sebagai pihak yang tidak mau berdamai.</w:t>
      </w:r>
    </w:p>
    <w:p w:rsidR="0053678A" w:rsidRDefault="001057F2">
      <w:pPr>
        <w:tabs>
          <w:tab w:val="left" w:pos="3315"/>
          <w:tab w:val="center" w:pos="4820"/>
        </w:tabs>
        <w:spacing w:before="240" w:after="40"/>
        <w:jc w:val="left"/>
        <w:rPr>
          <w:rFonts w:ascii="Garamond" w:hAnsi="Garamond"/>
          <w:lang w:val="id-ID"/>
        </w:rPr>
      </w:pPr>
      <w:r>
        <w:rPr>
          <w:rFonts w:ascii="Garamond" w:hAnsi="Garamond"/>
          <w:b/>
          <w:sz w:val="28"/>
          <w:szCs w:val="28"/>
          <w:lang w:val="id-ID"/>
        </w:rPr>
        <w:t>DAFTAR PUSTAKA</w:t>
      </w:r>
      <w:r>
        <w:rPr>
          <w:rFonts w:ascii="Garamond" w:hAnsi="Garamond"/>
          <w:b/>
        </w:rPr>
        <w:t xml:space="preserve"> </w:t>
      </w:r>
      <w:r>
        <w:rPr>
          <w:rFonts w:ascii="Garamond" w:hAnsi="Garamond"/>
          <w:lang w:val="id-ID"/>
        </w:rPr>
        <w:t>(</w:t>
      </w:r>
    </w:p>
    <w:p w:rsidR="0053678A" w:rsidRDefault="001057F2">
      <w:pPr>
        <w:pStyle w:val="Bibliography"/>
        <w:jc w:val="both"/>
      </w:pPr>
      <w:r>
        <w:rPr>
          <w:rFonts w:ascii="Garamond" w:hAnsi="Garamond"/>
          <w:b/>
          <w:lang w:val="id-ID"/>
        </w:rPr>
        <w:fldChar w:fldCharType="begin"/>
      </w:r>
      <w:r>
        <w:rPr>
          <w:rFonts w:ascii="Garamond" w:hAnsi="Garamond"/>
          <w:b/>
          <w:lang w:val="id-ID"/>
        </w:rPr>
        <w:instrText xml:space="preserve"> ADDIN ZOTERO_BIBL {"uncited":[],"omitted":[],"custom":[]} CSL_BIBLIOGRAPHY </w:instrText>
      </w:r>
      <w:r>
        <w:rPr>
          <w:rFonts w:ascii="Garamond" w:hAnsi="Garamond"/>
          <w:b/>
          <w:lang w:val="id-ID"/>
        </w:rPr>
        <w:fldChar w:fldCharType="separate"/>
      </w:r>
      <w:r>
        <w:t xml:space="preserve">Abdurrahman, Abdurrahman. “Undang-Undang Sultan Adam 1835 Dalam Perspektif Sejarah </w:t>
      </w:r>
      <w:r>
        <w:t xml:space="preserve">Hukum.” </w:t>
      </w:r>
      <w:r>
        <w:rPr>
          <w:i/>
          <w:iCs/>
        </w:rPr>
        <w:t>Al-Banjari : Jurnal Ilmiah Ilmu-Ilmu Keislaman</w:t>
      </w:r>
      <w:r>
        <w:t xml:space="preserve"> 10, no. 2 (November 10, 2011).</w:t>
      </w:r>
    </w:p>
    <w:p w:rsidR="0053678A" w:rsidRDefault="001057F2">
      <w:pPr>
        <w:pStyle w:val="Bibliography"/>
        <w:jc w:val="both"/>
      </w:pPr>
      <w:r>
        <w:t xml:space="preserve">Al Amruzi, Muhammad Fahmi, Masyitah Umar, and Anwar Hafidzi. “Sultan Adam Law in The Progressive Law Perspective in Banjar Communities in The 18th Century </w:t>
      </w:r>
      <w:r>
        <w:lastRenderedPageBreak/>
        <w:t xml:space="preserve">Ad.” </w:t>
      </w:r>
      <w:r>
        <w:rPr>
          <w:i/>
          <w:iCs/>
        </w:rPr>
        <w:t>JURNAL ILM</w:t>
      </w:r>
      <w:r>
        <w:rPr>
          <w:i/>
          <w:iCs/>
        </w:rPr>
        <w:t>IAH MIZANI: Wacana Hukum, Ekonomi, Dan Keagamaan</w:t>
      </w:r>
      <w:r>
        <w:t xml:space="preserve"> 7, no. 1 (2020).</w:t>
      </w:r>
    </w:p>
    <w:p w:rsidR="0053678A" w:rsidRDefault="001057F2">
      <w:pPr>
        <w:pStyle w:val="Bibliography"/>
        <w:jc w:val="both"/>
      </w:pPr>
      <w:r>
        <w:t xml:space="preserve">Asikin, Amiruddin Zainal. </w:t>
      </w:r>
      <w:r>
        <w:rPr>
          <w:i/>
          <w:iCs/>
        </w:rPr>
        <w:t>Pengantar Metode Penelitian Hukum</w:t>
      </w:r>
      <w:r>
        <w:t>. Jakarta: Raja Grafindo Persada, 2004.</w:t>
      </w:r>
    </w:p>
    <w:p w:rsidR="0053678A" w:rsidRDefault="001057F2">
      <w:pPr>
        <w:pStyle w:val="Bibliography"/>
        <w:jc w:val="both"/>
      </w:pPr>
      <w:r>
        <w:t>Badruzaman, Dudi. “Keadilan Dan Kesetaraan Gender Untuk Para Perempuan Korban Kekerasan Dal</w:t>
      </w:r>
      <w:r>
        <w:t xml:space="preserve">am Rumah Tangga (KDRT).” </w:t>
      </w:r>
      <w:r>
        <w:rPr>
          <w:i/>
          <w:iCs/>
        </w:rPr>
        <w:t>Tahkim (Jurnal Peradaban Dan Hukum Islam)</w:t>
      </w:r>
      <w:r>
        <w:t xml:space="preserve"> 3, no. 1 (March 2, 2020): 103–24.</w:t>
      </w:r>
    </w:p>
    <w:p w:rsidR="0053678A" w:rsidRDefault="001057F2">
      <w:pPr>
        <w:pStyle w:val="Bibliography"/>
        <w:jc w:val="both"/>
      </w:pPr>
      <w:r>
        <w:t xml:space="preserve">Donnelly, Jack. </w:t>
      </w:r>
      <w:r>
        <w:rPr>
          <w:i/>
          <w:iCs/>
        </w:rPr>
        <w:t>Universal Human Rights in Theory and Practice</w:t>
      </w:r>
      <w:r>
        <w:t>. Cornell University Press, 2013.</w:t>
      </w:r>
    </w:p>
    <w:p w:rsidR="0053678A" w:rsidRDefault="001057F2">
      <w:pPr>
        <w:pStyle w:val="Bibliography"/>
        <w:jc w:val="both"/>
      </w:pPr>
      <w:r>
        <w:t>Effendi, Rustam. “Struktur Dan Makna Undang-Undang Sultan Ad</w:t>
      </w:r>
      <w:r>
        <w:t xml:space="preserve">am Pada Masa Kerajaan Banjar Kalimantan Selatan.” </w:t>
      </w:r>
      <w:r>
        <w:rPr>
          <w:i/>
          <w:iCs/>
        </w:rPr>
        <w:t>LITERA</w:t>
      </w:r>
      <w:r>
        <w:t xml:space="preserve"> 12, no. 2 (2013).</w:t>
      </w:r>
    </w:p>
    <w:p w:rsidR="0053678A" w:rsidRDefault="001057F2">
      <w:pPr>
        <w:pStyle w:val="Bibliography"/>
        <w:jc w:val="both"/>
      </w:pPr>
      <w:r>
        <w:t xml:space="preserve">Ellsberg, Mary C. “Violence against Women: A Global Public Health Crisis.” </w:t>
      </w:r>
      <w:r>
        <w:rPr>
          <w:i/>
          <w:iCs/>
        </w:rPr>
        <w:t>Scandinavian Journal of Public Health</w:t>
      </w:r>
      <w:r>
        <w:t xml:space="preserve"> 34, no. 1 (January 1, 2006).</w:t>
      </w:r>
    </w:p>
    <w:p w:rsidR="0053678A" w:rsidRDefault="001057F2">
      <w:pPr>
        <w:pStyle w:val="Bibliography"/>
        <w:jc w:val="both"/>
      </w:pPr>
      <w:r>
        <w:t xml:space="preserve">Haji, Sjarifuddin. </w:t>
      </w:r>
      <w:r>
        <w:rPr>
          <w:i/>
          <w:iCs/>
        </w:rPr>
        <w:t>Sejarah Banjar</w:t>
      </w:r>
      <w:r>
        <w:t>. Peme</w:t>
      </w:r>
      <w:r>
        <w:t>rintah Propinsi Kalimantan Selatan, 2003.</w:t>
      </w:r>
    </w:p>
    <w:p w:rsidR="0053678A" w:rsidRDefault="001057F2">
      <w:pPr>
        <w:pStyle w:val="Bibliography"/>
        <w:jc w:val="both"/>
      </w:pPr>
      <w:r>
        <w:t>“Lembar Fakta Dan Temuan Kunci Catatan Tahunan Komnas Perempuan Tahun 2019.” Komnas Perempuan, 2020.</w:t>
      </w:r>
    </w:p>
    <w:p w:rsidR="0053678A" w:rsidRDefault="001057F2">
      <w:pPr>
        <w:pStyle w:val="Bibliography"/>
        <w:jc w:val="both"/>
      </w:pPr>
      <w:r>
        <w:t xml:space="preserve">Peter, Mahmud Marzuki. </w:t>
      </w:r>
      <w:r>
        <w:rPr>
          <w:i/>
          <w:iCs/>
        </w:rPr>
        <w:t>Penelitian Hukum</w:t>
      </w:r>
      <w:r>
        <w:t>. Edisi Pertama Cetakan ke-2, Kencana Prenada Media Group, Jakarta, 2006.</w:t>
      </w:r>
    </w:p>
    <w:p w:rsidR="0053678A" w:rsidRDefault="001057F2">
      <w:pPr>
        <w:pStyle w:val="Bibliography"/>
        <w:jc w:val="both"/>
      </w:pPr>
      <w:r>
        <w:t xml:space="preserve">Rezkianoor, M. Syahriza. “Perkara 18 Undang-Undang Sultan Adam Tentang </w:t>
      </w:r>
      <w:r>
        <w:rPr>
          <w:i/>
          <w:iCs/>
        </w:rPr>
        <w:t>Barambangan</w:t>
      </w:r>
      <w:r>
        <w:t xml:space="preserve"> (Analisis Maqâshid Asy-Syarî’ah).” Masters, Pascasarjana, 2018.</w:t>
      </w:r>
    </w:p>
    <w:p w:rsidR="0053678A" w:rsidRDefault="001057F2">
      <w:pPr>
        <w:pStyle w:val="Bibliography"/>
        <w:jc w:val="both"/>
      </w:pPr>
      <w:r>
        <w:t xml:space="preserve">Salim, H. S., and Erlies Septiana Nurbani. </w:t>
      </w:r>
      <w:r>
        <w:rPr>
          <w:i/>
          <w:iCs/>
        </w:rPr>
        <w:t>Penerapan Teori Hukum Pada Penelitian Disertasi Dan Tesis Buku Ked</w:t>
      </w:r>
      <w:r>
        <w:rPr>
          <w:i/>
          <w:iCs/>
        </w:rPr>
        <w:t>ua</w:t>
      </w:r>
      <w:r>
        <w:t>. Jakarta: Rajawali Pers, 2014.</w:t>
      </w:r>
    </w:p>
    <w:p w:rsidR="0053678A" w:rsidRDefault="001057F2">
      <w:pPr>
        <w:pStyle w:val="Bibliography"/>
        <w:jc w:val="both"/>
      </w:pPr>
      <w:r>
        <w:t xml:space="preserve">———. “Penerapan Teori Hukum Pada Penelitian Tesis Dan Disertasi.” </w:t>
      </w:r>
      <w:r>
        <w:rPr>
          <w:i/>
          <w:iCs/>
        </w:rPr>
        <w:t>Raja Grafindo Persada, Jakarta</w:t>
      </w:r>
      <w:r>
        <w:t>, 2013.</w:t>
      </w:r>
    </w:p>
    <w:p w:rsidR="0053678A" w:rsidRDefault="001057F2">
      <w:pPr>
        <w:pStyle w:val="Bibliography"/>
        <w:jc w:val="both"/>
      </w:pPr>
      <w:r>
        <w:t xml:space="preserve">Savitri, Niken, and Aep Gunarsa. </w:t>
      </w:r>
      <w:r>
        <w:rPr>
          <w:i/>
          <w:iCs/>
        </w:rPr>
        <w:t>HAM Perempuan: Kritik Teori Hukum Feminis Terhadap KUHP</w:t>
      </w:r>
      <w:r>
        <w:t>. Refika Aditama, 2008.</w:t>
      </w:r>
    </w:p>
    <w:p w:rsidR="0053678A" w:rsidRDefault="001057F2">
      <w:pPr>
        <w:pStyle w:val="Bibliography"/>
        <w:jc w:val="both"/>
      </w:pPr>
      <w:r>
        <w:t xml:space="preserve">UNODC. </w:t>
      </w:r>
      <w:r>
        <w:rPr>
          <w:i/>
          <w:iCs/>
        </w:rPr>
        <w:t>Global Study on Homicide</w:t>
      </w:r>
      <w:r>
        <w:t>. Vol. 5. Vienna, 2019.</w:t>
      </w:r>
    </w:p>
    <w:p w:rsidR="0053678A" w:rsidRDefault="001057F2">
      <w:pPr>
        <w:pStyle w:val="Bibliography"/>
        <w:jc w:val="both"/>
      </w:pPr>
      <w:r>
        <w:t xml:space="preserve">Zajda, Joseph, ed. </w:t>
      </w:r>
      <w:r>
        <w:rPr>
          <w:i/>
          <w:iCs/>
        </w:rPr>
        <w:t>Human Rights Education Globally</w:t>
      </w:r>
      <w:r>
        <w:t>. Globalisation, Comparative Education and Policy Research. Springer Netherlands, 2020.</w:t>
      </w:r>
      <w:bookmarkStart w:id="0" w:name="_GoBack"/>
      <w:bookmarkEnd w:id="0"/>
    </w:p>
    <w:p w:rsidR="0053678A" w:rsidRDefault="001057F2">
      <w:pPr>
        <w:pStyle w:val="Bibliography"/>
        <w:jc w:val="both"/>
      </w:pPr>
      <w:r>
        <w:t>Zulfa, Jamalie. “Sultan Adam Al-Watsiq Billah Dan Sejarah Pener</w:t>
      </w:r>
      <w:r>
        <w:t xml:space="preserve">apan Islam Di Tanah Banjar.” </w:t>
      </w:r>
      <w:r>
        <w:rPr>
          <w:i/>
          <w:iCs/>
        </w:rPr>
        <w:t>Jurnal Al-Jami  Vol.8, No.16 Januari-Juni 2012</w:t>
      </w:r>
      <w:r>
        <w:t>, 2012.</w:t>
      </w:r>
    </w:p>
    <w:p w:rsidR="0053678A" w:rsidRDefault="001057F2">
      <w:pPr>
        <w:pStyle w:val="BodyText"/>
        <w:ind w:firstLine="0"/>
        <w:rPr>
          <w:rFonts w:ascii="Garamond" w:hAnsi="Garamond"/>
          <w:b/>
          <w:lang w:val="id-ID"/>
        </w:rPr>
        <w:sectPr w:rsidR="0053678A">
          <w:type w:val="continuous"/>
          <w:pgSz w:w="11906" w:h="16838"/>
          <w:pgMar w:top="1440" w:right="1800" w:bottom="1440" w:left="1800" w:header="708" w:footer="708" w:gutter="0"/>
          <w:cols w:num="2" w:space="720" w:equalWidth="0">
            <w:col w:w="4011" w:space="282"/>
            <w:col w:w="4011"/>
          </w:cols>
        </w:sectPr>
      </w:pPr>
      <w:r>
        <w:rPr>
          <w:rFonts w:ascii="Garamond" w:hAnsi="Garamond"/>
          <w:b/>
          <w:lang w:val="id-ID"/>
        </w:rPr>
        <w:fldChar w:fldCharType="end"/>
      </w:r>
    </w:p>
    <w:p w:rsidR="0053678A" w:rsidRDefault="0053678A">
      <w:pPr>
        <w:pBdr>
          <w:top w:val="nil"/>
          <w:left w:val="nil"/>
          <w:bottom w:val="nil"/>
          <w:right w:val="nil"/>
          <w:between w:val="nil"/>
        </w:pBdr>
        <w:spacing w:line="360" w:lineRule="auto"/>
        <w:jc w:val="both"/>
        <w:rPr>
          <w:rFonts w:ascii="Garamond" w:eastAsia="Garamond" w:hAnsi="Garamond" w:cs="Garamond"/>
          <w:b/>
          <w:color w:val="000000"/>
          <w:sz w:val="24"/>
          <w:szCs w:val="24"/>
        </w:rPr>
      </w:pPr>
    </w:p>
    <w:p w:rsidR="0053678A" w:rsidRDefault="0053678A">
      <w:pPr>
        <w:pBdr>
          <w:top w:val="nil"/>
          <w:left w:val="nil"/>
          <w:bottom w:val="nil"/>
          <w:right w:val="nil"/>
          <w:between w:val="nil"/>
        </w:pBdr>
        <w:spacing w:line="360" w:lineRule="auto"/>
        <w:jc w:val="both"/>
        <w:rPr>
          <w:rFonts w:ascii="Garamond" w:eastAsia="Garamond" w:hAnsi="Garamond" w:cs="Garamond"/>
          <w:b/>
          <w:color w:val="000000"/>
          <w:sz w:val="24"/>
          <w:szCs w:val="24"/>
        </w:rPr>
      </w:pPr>
    </w:p>
    <w:sectPr w:rsidR="0053678A">
      <w:headerReference w:type="even" r:id="rId10"/>
      <w:headerReference w:type="default" r:id="rId11"/>
      <w:footerReference w:type="even" r:id="rId12"/>
      <w:footerReference w:type="default" r:id="rId13"/>
      <w:headerReference w:type="first" r:id="rId14"/>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F2" w:rsidRDefault="001057F2">
      <w:r>
        <w:separator/>
      </w:r>
    </w:p>
  </w:endnote>
  <w:endnote w:type="continuationSeparator" w:id="0">
    <w:p w:rsidR="001057F2" w:rsidRDefault="0010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8A" w:rsidRDefault="001057F2">
    <w:pPr>
      <w:pStyle w:val="Footer"/>
    </w:pPr>
    <w:r>
      <w:fldChar w:fldCharType="begin"/>
    </w:r>
    <w:r>
      <w:instrText xml:space="preserve"> PAGE   \* MERGEFORMAT </w:instrText>
    </w:r>
    <w:r>
      <w:fldChar w:fldCharType="separate"/>
    </w:r>
    <w:r w:rsidR="0000580D">
      <w:rPr>
        <w:noProof/>
      </w:rPr>
      <w:t>46</w:t>
    </w:r>
    <w:r>
      <w:rPr>
        <w:noProof/>
      </w:rPr>
      <w:fldChar w:fldCharType="end"/>
    </w:r>
  </w:p>
  <w:p w:rsidR="0053678A" w:rsidRDefault="005367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8A" w:rsidRDefault="005367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8A" w:rsidRDefault="001057F2">
    <w:pPr>
      <w:pStyle w:val="Footer"/>
    </w:pPr>
    <w:r>
      <w:fldChar w:fldCharType="begin"/>
    </w:r>
    <w:r>
      <w:instrText xml:space="preserve"> PAGE   \* MERGEFORMAT </w:instrText>
    </w:r>
    <w:r>
      <w:fldChar w:fldCharType="separate"/>
    </w:r>
    <w:r>
      <w:rPr>
        <w:noProof/>
      </w:rPr>
      <w:t>3</w:t>
    </w:r>
    <w:r>
      <w:rPr>
        <w:noProof/>
      </w:rPr>
      <w:fldChar w:fldCharType="end"/>
    </w:r>
  </w:p>
  <w:p w:rsidR="0053678A" w:rsidRDefault="00536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F2" w:rsidRDefault="001057F2">
      <w:r>
        <w:separator/>
      </w:r>
    </w:p>
  </w:footnote>
  <w:footnote w:type="continuationSeparator" w:id="0">
    <w:p w:rsidR="001057F2" w:rsidRDefault="001057F2">
      <w:r>
        <w:continuationSeparator/>
      </w:r>
    </w:p>
  </w:footnote>
  <w:footnote w:id="1">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{"citationID":"pntCO8T1","properties":{"formattedCitation":"</w:instrText>
      </w:r>
      <w:r>
        <w:instrText>UNODC, {\\i{}Global Study on Homicide}, vol. 5 (Vienna, 2019), https://www.unwomen.org/what-we-do/ending-violence-against-women/facts-and-figures.","plainCitation":"UNODC, Global Study on Homicide, vol. 5 (Vienna, 2019), https://www.unwomen.org/what-we-do/</w:instrText>
      </w:r>
      <w:r>
        <w:instrText>ending-violence-against-women/facts-and-figures.","noteIndex":1},"citationItems":[{"id":351,"uris":["http://zotero.org/users/local/aqQgz9ay/items/5B2ZMXTX"],"uri":["http://zotero.org/users/local/aqQgz9ay/items/5B2ZMXTX"],"itemData":{"id":351,"type":"book",</w:instrText>
      </w:r>
      <w:r>
        <w:instrText>"abstract":"Facts and figures: Ending violence against women","event-place":"Vienna","language":"en","publisher-place":"Vienna","title":"Global Study on Homicide","title-short":"Facts and figures","URL":"https://www.unwomen.org/what-we-do/ending-violence-a</w:instrText>
      </w:r>
      <w:r>
        <w:instrText>gainst-women/facts-and-figures","volume":"5","author":[{"family":"UNODC","given":""}],"accessed":{"date-parts":[["2020",11,16]]},"issued":{"date-parts":[["2019"]]}}}],"schema":"https://github.com/citation-style-language/schema/raw/master/csl-citation.json"</w:instrText>
      </w:r>
      <w:r>
        <w:instrText xml:space="preserve">} </w:instrText>
      </w:r>
      <w:r>
        <w:fldChar w:fldCharType="separate"/>
      </w:r>
      <w:r>
        <w:rPr>
          <w:szCs w:val="24"/>
        </w:rPr>
        <w:t xml:space="preserve">UNODC, </w:t>
      </w:r>
      <w:r>
        <w:rPr>
          <w:i/>
          <w:iCs/>
          <w:szCs w:val="24"/>
        </w:rPr>
        <w:t>Global Study on Homicide</w:t>
      </w:r>
      <w:r>
        <w:rPr>
          <w:szCs w:val="24"/>
        </w:rPr>
        <w:t>, vol. 5 (Vienna, 2019), https://www.unwomen.org/what-we-do/ending-violence-against-women/facts-and-figures.</w:t>
      </w:r>
      <w:r>
        <w:fldChar w:fldCharType="end"/>
      </w:r>
      <w:r>
        <w:t>: 10.</w:t>
      </w:r>
    </w:p>
  </w:footnote>
  <w:footnote w:id="2">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{"citationID":"pOT6TfmO","properties":{"formattedCitation":"Mary C. Ells</w:instrText>
      </w:r>
      <w:r>
        <w:instrText>berg, \\uc0\\u8220{}Violence against Women: A Global Public Health Crisis,\\uc0\\u8221{} {\\i{}Scandinavian Journal of Public Health} 34, no. 1 (January 1, 2006): 1\\uc0\\u8211{}4, doi:10.1080/14034940500494941.","plainCitation":"Mary C. Ellsberg, “Violenc</w:instrText>
      </w:r>
      <w:r>
        <w:instrText>e against Women: A Global Public Health Crisis,” Scandinavian Journal of Public Health 34, no. 1 (January 1, 2006): 1–4, doi:10.1080/14034940500494941.","dontUpdate":true,"noteIndex":2},"citationItems":[{"id":356,"uris":["http://zotero.org/users/local/aqQg</w:instrText>
      </w:r>
      <w:r>
        <w:instrText>z9ay/items/NCX9MC63"],"uri":["http://zotero.org/users/local/aqQgz9ay/items/NCX9MC63"],"itemData":{"id":356,"type":"article-journal","container-title":"Scandinavian Journal of Public Health","DOI":"10.1080/14034940500494941","ISSN":"1403-4948","issue":"1","</w:instrText>
      </w:r>
      <w:r>
        <w:instrText>journalAbbreviation":"Scand J Public Health","language":"en","note":"publisher: SAGE Publications Ltd STM","page":"1-4","source":"SAGE Journals","title":"Violence against women: A global public health crisis","title-short":"Violence against women","volume"</w:instrText>
      </w:r>
      <w:r>
        <w:instrText xml:space="preserve">:"34","author":[{"family":"Ellsberg","given":"Mary C."}],"issued":{"date-parts":[["2006",1,1]]}}}],"schema":"https://github.com/citation-style-language/schema/raw/master/csl-citation.json"} </w:instrText>
      </w:r>
      <w:r>
        <w:fldChar w:fldCharType="separate"/>
      </w:r>
      <w:r>
        <w:rPr>
          <w:szCs w:val="24"/>
        </w:rPr>
        <w:t xml:space="preserve">Mary C. Ellsberg, “Violence against Women: A Global Public Health </w:t>
      </w:r>
      <w:r>
        <w:rPr>
          <w:szCs w:val="24"/>
        </w:rPr>
        <w:t xml:space="preserve">Crisis,” </w:t>
      </w:r>
      <w:r>
        <w:rPr>
          <w:i/>
          <w:iCs/>
          <w:szCs w:val="24"/>
        </w:rPr>
        <w:t>Scandinavian Journal of Public Health</w:t>
      </w:r>
      <w:r>
        <w:rPr>
          <w:szCs w:val="24"/>
        </w:rPr>
        <w:t xml:space="preserve"> 34, no. 1 (January 1, 2006): 1.</w:t>
      </w:r>
      <w:r>
        <w:fldChar w:fldCharType="end"/>
      </w:r>
    </w:p>
  </w:footnote>
  <w:footnote w:id="3">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{"citationID":"v0pDWEOg","properties":{"formattedCitation":"\\uc0\\u8220{}Lembar Fakta Dan Temuan Kunci Catatan Tahunan Komnas Perempuan Tah</w:instrText>
      </w:r>
      <w:r>
        <w:instrText>un 2019\\uc0\\u8221{} (Komnas Perempuan, 2020).","plainCitation":"“Lembar Fakta Dan Temuan Kunci Catatan Tahunan Komnas Perempuan Tahun 2019” (Komnas Perempuan, 2020).","noteIndex":3},"citationItems":[{"id":355,"uris":["http://zotero.org/users/local/aqQgz9</w:instrText>
      </w:r>
      <w:r>
        <w:instrText>ay/items/GJAHDTPM"],"uri":["http://zotero.org/users/local/aqQgz9ay/items/GJAHDTPM"],"itemData":{"id":355,"type":"article","abstract":"Kekerasan Meningkat: Kebijakan Penghapusan Kekerasan Seksual untuk Membangun Ruang Aman bagi Perempuan dan Anak Perempuan"</w:instrText>
      </w:r>
      <w:r>
        <w:instrText xml:space="preserve">,"publisher":"Komnas Perempuan","title":"Lembar Fakta dan Temuan Kunci Catatan Tahunan Komnas Perempuan Tahun 2019","issued":{"date-parts":[["2020"]]}}}],"schema":"https://github.com/citation-style-language/schema/raw/master/csl-citation.json"} </w:instrText>
      </w:r>
      <w:r>
        <w:fldChar w:fldCharType="separate"/>
      </w:r>
      <w:r>
        <w:rPr>
          <w:szCs w:val="24"/>
        </w:rPr>
        <w:t>“Lembar Fak</w:t>
      </w:r>
      <w:r>
        <w:rPr>
          <w:szCs w:val="24"/>
        </w:rPr>
        <w:t>ta Dan Temuan Kunci Catatan Tahunan Komnas Perempuan Tahun 2019” (Komnas Perempuan, 2020).</w:t>
      </w:r>
      <w:r>
        <w:fldChar w:fldCharType="end"/>
      </w:r>
      <w:r>
        <w:t xml:space="preserve"> </w:t>
      </w:r>
    </w:p>
  </w:footnote>
  <w:footnote w:id="4">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{"citationID":"P4A4cfV6","properties":{"formattedCitation":"Dudi Badruzaman, \\uc0\\u8220{}Keadilan Dan Kesetaraan Gender Untuk</w:instrText>
      </w:r>
      <w:r>
        <w:instrText xml:space="preserve"> Para Perempuan Korban Kekerasan Dalam Rumah Tangga (KDRT),\\uc0\\u8221{} {\\i{}Tahkim (Jurnal Peradaban Dan Hukum Islam)} 3, no. 1 (March 2, 2020): 103\\uc0\\u8211{}24, doi:10.29313/tahkim.v3i1.5558.","plainCitation":"Dudi Badruzaman, “Keadilan Dan Keseta</w:instrText>
      </w:r>
      <w:r>
        <w:instrText>raan Gender Untuk Para Perempuan Korban Kekerasan Dalam Rumah Tangga (KDRT),” Tahkim (Jurnal Peradaban Dan Hukum Islam) 3, no. 1 (March 2, 2020): 103–24, doi:10.29313/tahkim.v3i1.5558.","dontUpdate":true,"noteIndex":4},"citationItems":[{"id":358,"uris":["h</w:instrText>
      </w:r>
      <w:r>
        <w:instrText>ttp://zotero.org/users/local/aqQgz9ay/items/T2K6H6XT"],"uri":["http://zotero.org/users/local/aqQgz9ay/items/T2K6H6XT"],"itemData":{"id":358,"type":"article-journal","abstract":"Forms of violence against women still occur in many places where women are alwa</w:instrText>
      </w:r>
      <w:r>
        <w:instrText>ys associated as marginalized groups that are discriminated against, oppressed, and subordinated to male domination. This study aims to 1). Why domestic violence still often occurs in many places in Indonesia even though legislation has been made to protec</w:instrText>
      </w:r>
      <w:r>
        <w:instrText>t women's rights. 2). With the analysis of these questions, what should be done in order to reduce violence and provide justice for women in Indonesia. The method used by data collection techniques with literature study methods. And then collected from the</w:instrText>
      </w:r>
      <w:r>
        <w:instrText xml:space="preserve"> reports of relevant agencies such as the National Commission on Violence Against Women, and scientific books that conduct similar studies, these secondary data are then interpreted qualitatively and supported by several scientific concepts and theories th</w:instrText>
      </w:r>
      <w:r>
        <w:instrText>at have been put forward previously as a knife of analysis. This paper is expected to be able to raise awareness of the issue of violence against women in academic studies and provide an analysis and analysis of this issue.Keywords: Justice; gender equalit</w:instrText>
      </w:r>
      <w:r>
        <w:instrText xml:space="preserve">y; women.","container-title":"Tahkim (Jurnal Peradaban dan Hukum Islam)","DOI":"10.29313/tahkim.v3i1.5558","ISSN":"2598-1129","issue":"1","language":"en","note":"number: 1","page":"103-124","source":"ejournal.unisba.ac.id","title":"Keadilan dan Kesetaraan </w:instrText>
      </w:r>
      <w:r>
        <w:instrText>Gender Untuk Para Perempuan Korban Kekerasan Dalam Rumah Tangga (KDRT)","volume":"3","author":[{"family":"Badruzaman","given":"Dudi"}],"issued":{"date-parts":[["2020",3,2]]}}}],"schema":"https://github.com/citation-style-language/schema/raw/master/csl-cita</w:instrText>
      </w:r>
      <w:r>
        <w:instrText xml:space="preserve">tion.json"} </w:instrText>
      </w:r>
      <w:r>
        <w:fldChar w:fldCharType="separate"/>
      </w:r>
      <w:r>
        <w:rPr>
          <w:szCs w:val="24"/>
        </w:rPr>
        <w:t xml:space="preserve">Dudi Badruzaman, “Keadilan Dan Kesetaraan Gender Untuk Para Perempuan Korban Kekerasan Dalam Rumah Tangga (KDRT),” </w:t>
      </w:r>
      <w:r>
        <w:rPr>
          <w:i/>
          <w:iCs/>
          <w:szCs w:val="24"/>
        </w:rPr>
        <w:t>Tahkim (Jurnal Peradaban Dan Hukum Islam)</w:t>
      </w:r>
      <w:r>
        <w:rPr>
          <w:szCs w:val="24"/>
        </w:rPr>
        <w:t xml:space="preserve"> 3, no. 1 (March 2, 2020): 104.</w:t>
      </w:r>
      <w:r>
        <w:fldChar w:fldCharType="end"/>
      </w:r>
    </w:p>
  </w:footnote>
  <w:footnote w:id="5">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w:instrText>
      </w:r>
      <w:r>
        <w:instrText>fF9gWmMW","properties":{"formattedCitation":"Abdurrahman Abdurrahman, \\uc0\\u8220{}Undang-Undang Sultan Adam 1835 Dalam Perspektif Sejarah Hukum,\\uc0\\u8221{} {\\i{}Al-Banjari\\uc0\\u8239{}: Jurnal Ilmiah Ilmu-Ilmu Keislaman} 10, no. 2 (November 10, 2011</w:instrText>
      </w:r>
      <w:r>
        <w:instrText>), doi:10.18592/al-banjari.v10i2.1042.","plainCitation":"Abdurrahman Abdurrahman, “Undang-Undang Sultan Adam 1835 Dalam Perspektif Sejarah Hukum,” Al-Banjari : Jurnal Ilmiah Ilmu-Ilmu Keislaman 10, no. 2 (November 10, 2011), doi:10.18592/al-banjari.v10i2.1</w:instrText>
      </w:r>
      <w:r>
        <w:instrText xml:space="preserve">042.","noteIndex":5},"citationItems":[{"id":361,"uris":["http://zotero.org/users/local/aqQgz9ay/items/2CECFTVR"],"uri":["http://zotero.org/users/local/aqQgz9ay/items/2CECFTVR"],"itemData":{"id":361,"type":"article-journal","abstract":"Undang-undang Sultan </w:instrText>
      </w:r>
      <w:r>
        <w:instrText>Adam sebagai perangkat hukum peninggalan masa lalu kurang mendapatkan perhatian baik dari kalangan para ahli hukum maupun dari sejarawan, bahkan sampai sekarang ini teks peraturan itu belum pernah ditulis dalam bahasa Indonesia karena sampai saat ini dokum</w:instrText>
      </w:r>
      <w:r>
        <w:instrText>en itu masih tertulis dalam bahasa Melayu/Banjar disertai terjemahannya dalam bahasa Belanda. Karena itu wajar apabila dokumen hukum itu tidak tersebar secara meluas dikalangan para ilmuan. Di sampimg itu dokumen hukum itu juga penting sebagai informasi ba</w:instrText>
      </w:r>
      <w:r>
        <w:instrText>gi generasi mendatang tentang keberhasilan yang pernah dicapai oleh nenek moyang mereka dimasa lampau dalam menetapkan hukum di dalam masyarakatnya.","container-title":"Al-Banjari : Jurnal Ilmiah Ilmu-Ilmu Keislaman","DOI":"10.18592/al-banjari.v10i2.1042",</w:instrText>
      </w:r>
      <w:r>
        <w:instrText>"ISSN":"2527-6778","issue":"2","language":"en-US","source":"jurnal.uin-antasari.ac.id","title":"Undang-Undang Sultan Adam 1835 dalam Perspektif Sejarah Hukum","URL":"http://jurnal.uin-antasari.ac.id/index.php/al-banjari/article/view/1042","volume":"10","au</w:instrText>
      </w:r>
      <w:r>
        <w:instrText xml:space="preserve">thor":[{"family":"Abdurrahman","given":"Abdurrahman"}],"accessed":{"date-parts":[["2020",11,17]]},"issued":{"date-parts":[["2011",11,10]]}}}],"schema":"https://github.com/citation-style-language/schema/raw/master/csl-citation.json"} </w:instrText>
      </w:r>
      <w:r>
        <w:fldChar w:fldCharType="separate"/>
      </w:r>
      <w:r>
        <w:rPr>
          <w:szCs w:val="24"/>
        </w:rPr>
        <w:t>Abdurrahman Abdurrahman</w:t>
      </w:r>
      <w:r>
        <w:rPr>
          <w:szCs w:val="24"/>
        </w:rPr>
        <w:t xml:space="preserve">, “Undang-Undang Sultan Adam 1835 Dalam Perspektif Sejarah Hukum,” </w:t>
      </w:r>
      <w:r>
        <w:rPr>
          <w:i/>
          <w:iCs/>
          <w:szCs w:val="24"/>
        </w:rPr>
        <w:t>Al-Banjari : Jurnal Ilmiah Ilmu-Ilmu Keislaman</w:t>
      </w:r>
      <w:r>
        <w:rPr>
          <w:szCs w:val="24"/>
        </w:rPr>
        <w:t xml:space="preserve"> 10, no. 2 (November 10, 2011), doi:10.18592/al-banjari.v10i2.1042.</w:t>
      </w:r>
      <w:r>
        <w:fldChar w:fldCharType="end"/>
      </w:r>
    </w:p>
  </w:footnote>
  <w:footnote w:id="6">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{"citationID":"f0LjxIzX","properties":</w:instrText>
      </w:r>
      <w:r>
        <w:instrText>{"formattedCitation":"Jamalie Zulfa, \\uc0\\u8220{}Sultan Adam Al-Watsiq Billah Dan Sejarah Penerapan Islam Di Tanah Banjar,\\uc0\\u8221{} {\\i{}Jurnal Al-Jami  Vol.8, No.16 Januari-Juni 2012}, 2012, https://idr.uin-antasari.ac.id/13942/.","plainCitation":</w:instrText>
      </w:r>
      <w:r>
        <w:instrText>"Jamalie Zulfa, “Sultan Adam Al-Watsiq Billah Dan Sejarah Penerapan Islam Di Tanah Banjar,” Jurnal Al-Jami  Vol.8, No.16 Januari-Juni 2012, 2012, https://idr.uin-antasari.ac.id/13942/.","dontUpdate":true,"noteIndex":6},"citationItems":[{"id":364,"uris":["h</w:instrText>
      </w:r>
      <w:r>
        <w:instrText xml:space="preserve">ttp://zotero.org/users/local/aqQgz9ay/items/DAL5GVD5"],"uri":["http://zotero.org/users/local/aqQgz9ay/items/DAL5GVD5"],"itemData":{"id":364,"type":"article-journal","abstract":"Sebagaimana Aceh, Kesultanan Banjar dalam catatan sejarah merupakan salah satu </w:instrText>
      </w:r>
      <w:r>
        <w:instrText>daerah yang secara hukum pernah menerapkan hukum Islam untuk mengatur kehidupan masyarakatnya, terutama di masa pemerintahan Sultan Adam alWatsiq Billah (1825-1857 M) bin Sultan Sulaiman alMu’tamidillah.  Karena itu, undang-undang dimaksud kemudian dikenal</w:instrText>
      </w:r>
      <w:r>
        <w:instrText xml:space="preserve"> sebagai Undang-Undang Sultan Adam (UUSA). Secara singkat UUSA berisikan beberapa pasal penting yang menjelaskan tata aturan dan permasalahan kehidupan sehari-hari yang dihadapi oleh masyarakat Banjar, misalnya permasalahan pelaksanaan ajaran Islam, hukum </w:instrText>
      </w:r>
      <w:r>
        <w:instrText>tata pemerintahan, hak tentang pertanahan, ikatan perkawinan, kehidupan berkeluarga, dan seterusnya. Karena itu, UUSA tersebut merupakan bagian penting yang tak terpisahkan dari kejayaan sejarah Islam Banjar. Siapakah Sultan Adam? Bagaimana isi dari UUSA t</w:instrText>
      </w:r>
      <w:r>
        <w:instrText>ersebut? Paling tidak, inilah dua hal penting yang dipaparkan dalam tulisan berikut.","container-title":"Jurnal Al-Jami  Vol.8, No.16 Januari-Juni 2012","ISSN":"1858 – 389x","source":"idr.uin-antasari.ac.id","title":"Sultan Adam Al-Watsiq Billah dan Sejara</w:instrText>
      </w:r>
      <w:r>
        <w:instrText>h Penerapan Islam di Tanah Banjar","URL":"https://idr.uin-antasari.ac.id/13942/","author":[{"family":"Zulfa","given":"Jamalie"}],"accessed":{"date-parts":[["2020",11,17]]},"issued":{"date-parts":[["2012"]]}}}],"schema":"https://github.com/citation-style-la</w:instrText>
      </w:r>
      <w:r>
        <w:instrText xml:space="preserve">nguage/schema/raw/master/csl-citation.json"} </w:instrText>
      </w:r>
      <w:r>
        <w:fldChar w:fldCharType="separate"/>
      </w:r>
      <w:r>
        <w:rPr>
          <w:szCs w:val="24"/>
        </w:rPr>
        <w:t xml:space="preserve">Jamalie Zulfa, “Sultan Adam Al-Watsiq Billah Dan Sejarah Penerapan Islam Di Tanah Banjar,” </w:t>
      </w:r>
      <w:r>
        <w:rPr>
          <w:i/>
          <w:iCs/>
          <w:szCs w:val="24"/>
        </w:rPr>
        <w:t xml:space="preserve">Jurnal Al-Jami  </w:t>
      </w:r>
      <w:r>
        <w:rPr>
          <w:szCs w:val="24"/>
        </w:rPr>
        <w:t>Vol.8, No.16 Januari-Juni 2012: 126.</w:t>
      </w:r>
      <w:r>
        <w:fldChar w:fldCharType="end"/>
      </w:r>
    </w:p>
  </w:footnote>
  <w:footnote w:id="7">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{"citationID":"8hl03lEt","prop</w:instrText>
      </w:r>
      <w:r>
        <w:instrText>erties":{"formattedCitation":"Muhammad Fahmi Al Amruzi, Masyitah Umar, and Anwar Hafidzi, \\uc0\\u8220{}Sultan Adam Law in The Progressive Law Perspective in Banjar Communities in The 18th Century Ad,\\uc0\\u8221{} {\\i{}JURNAL ILMIAH MIZANI: Wacana Hukum,</w:instrText>
      </w:r>
      <w:r>
        <w:instrText xml:space="preserve"> Ekonomi, Dan Keagamaan} 7, no. 1 (2020): 11\\uc0\\u8211{}24.","plainCitation":"Muhammad Fahmi Al Amruzi, Masyitah Umar, and Anwar Hafidzi, “Sultan Adam Law in The Progressive Law Perspective in Banjar Communities in The 18th Century Ad,” JURNAL ILMIAH MIZ</w:instrText>
      </w:r>
      <w:r>
        <w:instrText>ANI: Wacana Hukum, Ekonomi, Dan Keagamaan 7, no. 1 (2020): 11–24.","dontUpdate":true,"noteIndex":7},"citationItems":[{"id":382,"uris":["http://zotero.org/users/local/aqQgz9ay/items/3PLYVTBG"],"uri":["http://zotero.org/users/local/aqQgz9ay/items/3PLYVTBG"],</w:instrText>
      </w:r>
      <w:r>
        <w:instrText>"itemData":{"id":382,"type":"article-journal","container-title":"JURNAL ILMIAH MIZANI: Wacana Hukum, Ekonomi, dan Keagamaan","issue":"1","page":"11–24","source":"Google Scholar","title":"Sultan Adam Law in The Progressive Law Perspective in Banjar Communit</w:instrText>
      </w:r>
      <w:r>
        <w:instrText>ies in The 18th Century Ad","volume":"7","author":[{"family":"Al Amruzi","given":"Muhammad Fahmi"},{"family":"Umar","given":"Masyitah"},{"family":"Hafidzi","given":"Anwar"}],"issued":{"date-parts":[["2020"]]}}}],"schema":"https://github.com/citation-style-</w:instrText>
      </w:r>
      <w:r>
        <w:instrText xml:space="preserve">language/schema/raw/master/csl-citation.json"} </w:instrText>
      </w:r>
      <w:r>
        <w:fldChar w:fldCharType="separate"/>
      </w:r>
      <w:r>
        <w:rPr>
          <w:szCs w:val="24"/>
        </w:rPr>
        <w:t xml:space="preserve">Muhammad Fahmi Al Amruzi, Masyitah Umar, and Anwar Hafidzi, “Sultan Adam Law in The Progressive Law Perspective in Banjar Communities in The 18th Century Ad,” </w:t>
      </w:r>
      <w:r>
        <w:rPr>
          <w:i/>
          <w:iCs/>
          <w:szCs w:val="24"/>
        </w:rPr>
        <w:t>JURNAL ILMIAH MIZANI: Wacana Hukum, Ekonomi, Dan K</w:t>
      </w:r>
      <w:r>
        <w:rPr>
          <w:i/>
          <w:iCs/>
          <w:szCs w:val="24"/>
        </w:rPr>
        <w:t>eagamaan</w:t>
      </w:r>
      <w:r>
        <w:rPr>
          <w:szCs w:val="24"/>
        </w:rPr>
        <w:t xml:space="preserve"> 7, no. 1 (2020): 18.</w:t>
      </w:r>
      <w:r>
        <w:fldChar w:fldCharType="end"/>
      </w:r>
    </w:p>
  </w:footnote>
  <w:footnote w:id="8">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{"citationID":"gdweGvbp","properties":{"formattedCitation":"Rustam Effendi, \\uc0\\u8220{}Struktur Dan Makna Undang-Undang Sultan Adam Pada Masa Kerajaan Banjar Kalimantan Selatan,\\uc0\\u8</w:instrText>
      </w:r>
      <w:r>
        <w:instrText>221{} {\\i{}LITERA} 12, no. 2 (2013), doi:10.21831/ltr.v12i02.1586.","plainCitation":"Rustam Effendi, “Struktur Dan Makna Undang-Undang Sultan Adam Pada Masa Kerajaan Banjar Kalimantan Selatan,” LITERA 12, no. 2 (2013), doi:10.21831/ltr.v12i02.1586.","dont</w:instrText>
      </w:r>
      <w:r>
        <w:instrText>Update":true,"noteIndex":8},"citationItems":[{"id":367,"uris":["http://zotero.org/users/local/aqQgz9ay/items/5KMW2S63"],"uri":["http://zotero.org/users/local/aqQgz9ay/items/5KMW2S63"],"itemData":{"id":367,"type":"article-journal","abstract":"This study aim</w:instrText>
      </w:r>
      <w:r>
        <w:instrText>s to describe the backgrounds of the birth and meaning of Undangundang Sultan Adam (UUSA). It employed the hermeneutic method and philology. The data source was the UUSA text written in the era when Sultan Adam reigned over the Banjar Kingdom in 1825-1857.</w:instrText>
      </w:r>
      <w:r>
        <w:instrText xml:space="preserve"> The findings are as follows. First, the birth of UUSA was due to the fight of two sects, i.e. ahlusunah waljamaah and ahlal albidaah. Second, the whole meaning of the UUSA text shows that: (1) the Banjar Kingdom was a theocratic kingdom, (2) ulemas and re</w:instrText>
      </w:r>
      <w:r>
        <w:instrText>ligious organizations played dominant roles in the government, (3) legal religious organizations were those in the Safii sect, (4) UUSA was written on the basis of the ideas of the ulema of the Banjar Kingdom, namely Haji Djamaloedin, and (5) UUSA aimed to</w:instrText>
      </w:r>
      <w:r>
        <w:instrText xml:space="preserve"> serve as religious experience perfection, a guide for judges to make decisions, and an attempt to counter other religious organizations growing during the era.","container-title":"LITERA","DOI":"10.21831/ltr.v12i02.1586","ISSN":"2460-8319","issue":"2","la</w:instrText>
      </w:r>
      <w:r>
        <w:instrText>nguage":"en","note":"number: 2","source":"journal.uny.ac.id","title":"Struktur dan Makna Undang-Undang Sultan Adam Pada Masa Kerajaan Banjar Kalimantan Selatan","URL":"https://journal.uny.ac.id/index.php/litera/article/view/1586","volume":"12","author":[{"</w:instrText>
      </w:r>
      <w:r>
        <w:instrText xml:space="preserve">family":"Effendi","given":"Rustam"}],"accessed":{"date-parts":[["2020",11,17]]},"issued":{"date-parts":[["2013"]]}}}],"schema":"https://github.com/citation-style-language/schema/raw/master/csl-citation.json"} </w:instrText>
      </w:r>
      <w:r>
        <w:fldChar w:fldCharType="separate"/>
      </w:r>
      <w:r>
        <w:rPr>
          <w:szCs w:val="24"/>
        </w:rPr>
        <w:t>Rustam Effendi, “Struktur Dan Makna Undang-Unda</w:t>
      </w:r>
      <w:r>
        <w:rPr>
          <w:szCs w:val="24"/>
        </w:rPr>
        <w:t xml:space="preserve">ng Sultan Adam Pada Masa Kerajaan Banjar Kalimantan Selatan,” </w:t>
      </w:r>
      <w:r>
        <w:rPr>
          <w:i/>
          <w:iCs/>
          <w:szCs w:val="24"/>
        </w:rPr>
        <w:t>LITERA</w:t>
      </w:r>
      <w:r>
        <w:rPr>
          <w:szCs w:val="24"/>
        </w:rPr>
        <w:t xml:space="preserve"> 12, no. 2 (2013): 262.</w:t>
      </w:r>
      <w:r>
        <w:fldChar w:fldCharType="end"/>
      </w:r>
    </w:p>
  </w:footnote>
  <w:footnote w:id="9">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{"citationID":"jpb8UE44","properties":{"formattedCitation":"M. Syahriza Rezkianoor, \\uc0\\u8220{}Perkara 18 Undang-Undang Sult</w:instrText>
      </w:r>
      <w:r>
        <w:instrText>an Adam Tentang Barambangan (Analisis Maq\\uc0\\u226{}shid Asy-Syar\\uc0\\u238{}\\uc0\\u8217{}ah)\\uc0\\u8221{} (masters, Pascasarjana, 2018), doi:10/LAMPIRAN.pdf.","plainCitation":"M. Syahriza Rezkianoor, “Perkara 18 Undang-Undang Sultan Adam Tentang Bara</w:instrText>
      </w:r>
      <w:r>
        <w:instrText>mbangan (Analisis Maqâshid Asy-Syarî’ah)” (masters, Pascasarjana, 2018), doi:10/LAMPIRAN.pdf.","dontUpdate":true,"noteIndex":9},"citationItems":[{"id":371,"uris":["http://zotero.org/users/local/aqQgz9ay/items/Z9RBXSY7"],"uri":["http://zotero.org/users/loca</w:instrText>
      </w:r>
      <w:r>
        <w:instrText>l/aqQgz9ay/items/Z9RBXSY7"],"itemData":{"id":371,"type":"thesis","abstract":"The interesting thing in the history of the Sultanate of Banjar occurred during the reign of Sultan Adam. He has successfully applied an Islamic law in the land of Banjar, which h</w:instrText>
      </w:r>
      <w:r>
        <w:instrText>e realized in Sultan Adam's Law. One of the interesting chapter to be studied is Chapter 18 on Barambangan. The concept of barambangan in this law still seems taboo, in which the law of the husband is not allowed to touch his wife during barambangan. In fa</w:instrText>
      </w:r>
      <w:r>
        <w:instrText>ct, the husband and wife who are currently in barambangan are still legally married and have rights and obligations of each, including to touch her. This is where this research conducted, it is trying to review the concept of barambangan in Chapter 18 of S</w:instrText>
      </w:r>
      <w:r>
        <w:instrText>ultan Adam's Law and reviewing its juridical principles from the maqâshid asy-syarî'ah perspective.\n\nThe type of this research is normative legal research with conceptual and historical approach. This study also collaborated with empirical data as a supp</w:instrText>
      </w:r>
      <w:r>
        <w:instrText xml:space="preserve">ort. This study uses primary, secondary, and non-legal legal materials. The technique for collecting these three legal materials are documentary and interview. Then, analyze it qualitatively, and the result is specifically concluded.\n\nThe results of the </w:instrText>
      </w:r>
      <w:r>
        <w:instrText>study show, that conceptually, barambangan is a gap situation in marriage to determine the choice to reunite or divorce, because, between husband and wife the situation is already in a tenuous position because of household problems, and they have separated</w:instrText>
      </w:r>
      <w:r>
        <w:instrText xml:space="preserve"> their place of residence. There are three laws in Chapter 18 of Sultan Adam's Law, namely, first, when barambangan, the husband is not allowed to touch or to invite his wife to reunite directly, however, he is ordered to immediately reconcile first, secon</w:instrText>
      </w:r>
      <w:r>
        <w:instrText xml:space="preserve">d, the reconciliation of husband and wife who do barambangan is carried out by judges (representatives of Islamic law) and relatives of husband and wife (representatives of common law), and third, when the problem of barambangan is too complicated and get </w:instrText>
      </w:r>
      <w:r>
        <w:instrText>deadlock, the judge will delegate to the sultan in its settlement. From the maqâshid asy-syarî'ah perspective, there are five main principles in the Chapter 18, namely, hifzh ad-dîn, hifzh an-nafs, hifzh al-'irdh, hifzh al-'aql, and hifzh an-nasl. The bara</w:instrText>
      </w:r>
      <w:r>
        <w:instrText>mbangan law in Chapter 18 is included in the level of maqâshid at-tahsîniyât and it is a form of “maslahat”, and to anticipate the “mafsadat” of Banjar society, especially for married couples who are in barambangan situations.","genre":"masters","language"</w:instrText>
      </w:r>
      <w:r>
        <w:instrText>:"en","note":"DOI: 10/LAMPIRAN.pdf","publisher":"Pascasarjana","source":"idr.uin-antasari.ac.id","title":"Perkara 18 Undang-Undang Sultan Adam tentang Barambangan (Analisis Maqâshid asy-Syarî'ah)","URL":"http://idr.uin-antasari.ac.id/10446/","author":[{"fa</w:instrText>
      </w:r>
      <w:r>
        <w:instrText xml:space="preserve">mily":"Rezkianoor","given":"M. Syahriza"}],"accessed":{"date-parts":[["2020",11,17]]},"issued":{"date-parts":[["2018",8,16]]}}}],"schema":"https://github.com/citation-style-language/schema/raw/master/csl-citation.json"} </w:instrText>
      </w:r>
      <w:r>
        <w:fldChar w:fldCharType="separate"/>
      </w:r>
      <w:r>
        <w:rPr>
          <w:szCs w:val="24"/>
        </w:rPr>
        <w:t xml:space="preserve">M. Syahriza Rezkianoor, “Perkara 18 </w:t>
      </w:r>
      <w:r>
        <w:rPr>
          <w:szCs w:val="24"/>
        </w:rPr>
        <w:t xml:space="preserve">Undang-Undang Sultan Adam Tentang </w:t>
      </w:r>
      <w:r>
        <w:rPr>
          <w:i/>
          <w:iCs/>
          <w:szCs w:val="24"/>
        </w:rPr>
        <w:t>Barambangan</w:t>
      </w:r>
      <w:r>
        <w:rPr>
          <w:szCs w:val="24"/>
        </w:rPr>
        <w:t xml:space="preserve"> (Analisis Maqâshid Asy-Syarî’ah)” (masters, Pascasarjana, 2018): 136.</w:t>
      </w:r>
      <w:r>
        <w:fldChar w:fldCharType="end"/>
      </w:r>
    </w:p>
  </w:footnote>
  <w:footnote w:id="10">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{"citationID":"YmDY7Q8O","properties":{"formattedCitation":"Amiruddin Zainal Asikin, {\\i{}Pengantar Me</w:instrText>
      </w:r>
      <w:r>
        <w:instrText>tode Penelitian Hukum} (Jakarta: Raja Grafindo Persada, 2004).","plainCitation":"Amiruddin Zainal Asikin, Pengantar Metode Penelitian Hukum (Jakarta: Raja Grafindo Persada, 2004).","noteIndex":11},"citationItems":[{"id":474,"uris":["http://zotero.org/users</w:instrText>
      </w:r>
      <w:r>
        <w:instrText>/local/aqQgz9ay/items/TBGVUEJG"],"uri":["http://zotero.org/users/local/aqQgz9ay/items/TBGVUEJG"],"itemData":{"id":474,"type":"book","publisher":"Jakarta: Raja Grafindo Persada","source":"Google Scholar","title":"Pengantar Metode Penelitian Hukum","author":</w:instrText>
      </w:r>
      <w:r>
        <w:instrText xml:space="preserve">[{"family":"Asikin","given":"Amiruddin Zainal"}],"issued":{"date-parts":[["2004"]]}}}],"schema":"https://github.com/citation-style-language/schema/raw/master/csl-citation.json"} </w:instrText>
      </w:r>
      <w:r>
        <w:fldChar w:fldCharType="separate"/>
      </w:r>
      <w:r>
        <w:rPr>
          <w:szCs w:val="24"/>
        </w:rPr>
        <w:t xml:space="preserve">Amiruddin Zainal Asikin, </w:t>
      </w:r>
      <w:r>
        <w:rPr>
          <w:i/>
          <w:iCs/>
          <w:szCs w:val="24"/>
        </w:rPr>
        <w:t>Pengantar Metode Penelitian Hukum</w:t>
      </w:r>
      <w:r>
        <w:rPr>
          <w:szCs w:val="24"/>
        </w:rPr>
        <w:t xml:space="preserve"> (Jakarta: Raja Graf</w:t>
      </w:r>
      <w:r>
        <w:rPr>
          <w:szCs w:val="24"/>
        </w:rPr>
        <w:t xml:space="preserve">indo Persada, 2004): </w:t>
      </w:r>
      <w:r>
        <w:t>118</w:t>
      </w:r>
      <w:r>
        <w:rPr>
          <w:szCs w:val="24"/>
        </w:rPr>
        <w:t>.</w:t>
      </w:r>
      <w:r>
        <w:fldChar w:fldCharType="end"/>
      </w:r>
    </w:p>
  </w:footnote>
  <w:footnote w:id="11">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{"citationID":"xyFQn1fi","properties":{"formattedCitation":"Mahmud Marzuki Peter, {\\i{}Penelitian Hukum} (Edisi Pertama Cetakan ke-2, Kencana Prenada Media Group, Jakarta, 2006).","plainCitati</w:instrText>
      </w:r>
      <w:r>
        <w:instrText>on":"Mahmud Marzuki Peter, Penelitian Hukum (Edisi Pertama Cetakan ke-2, Kencana Prenada Media Group, Jakarta, 2006).","noteIndex":12},"citationItems":[{"id":438,"uris":["http://zotero.org/users/local/aqQgz9ay/items/UQA5KBMH"],"uri":["http://zotero.org/use</w:instrText>
      </w:r>
      <w:r>
        <w:instrText>rs/local/aqQgz9ay/items/UQA5KBMH"],"itemData":{"id":438,"type":"book","publisher":"Edisi Pertama Cetakan ke-2, Kencana Prenada Media Group, Jakarta","source":"Google Scholar","title":"Penelitian Hukum","author":[{"family":"Peter","given":"Mahmud Marzuki"}]</w:instrText>
      </w:r>
      <w:r>
        <w:instrText xml:space="preserve">,"issued":{"date-parts":[["2006"]]}}}],"schema":"https://github.com/citation-style-language/schema/raw/master/csl-citation.json"} </w:instrText>
      </w:r>
      <w:r>
        <w:fldChar w:fldCharType="separate"/>
      </w:r>
      <w:r>
        <w:rPr>
          <w:szCs w:val="24"/>
        </w:rPr>
        <w:t xml:space="preserve">Mahmud Marzuki Peter, </w:t>
      </w:r>
      <w:r>
        <w:rPr>
          <w:i/>
          <w:iCs/>
          <w:szCs w:val="24"/>
        </w:rPr>
        <w:t>Penelitian Hukum</w:t>
      </w:r>
      <w:r>
        <w:rPr>
          <w:szCs w:val="24"/>
        </w:rPr>
        <w:t xml:space="preserve"> (Edisi Pertama Cetakan ke-2, Kencana Prenada Media Group, Jakarta, 2006).</w:t>
      </w:r>
      <w:r>
        <w:fldChar w:fldCharType="end"/>
      </w:r>
    </w:p>
  </w:footnote>
  <w:footnote w:id="12">
    <w:p w:rsidR="0053678A" w:rsidRDefault="001057F2">
      <w:pPr>
        <w:pStyle w:val="FootnoteText"/>
        <w:jc w:val="both"/>
      </w:pPr>
      <w:r>
        <w:rPr>
          <w:rStyle w:val="FootnoteReference"/>
        </w:rPr>
        <w:footnoteRef/>
      </w:r>
      <w:r>
        <w:t xml:space="preserve"> </w:t>
      </w:r>
      <w:r>
        <w:fldChar w:fldCharType="begin"/>
      </w:r>
      <w:r>
        <w:instrText xml:space="preserve"> ADDIN Z</w:instrText>
      </w:r>
      <w:r>
        <w:instrText>OTERO_ITEM CSL_CITATION {"citationID":"1FBPLh0k","properties":{"formattedCitation":"Rezkianoor, \\uc0\\u8220{}Perkara 18 Undang-Undang Sultan Adam Tentang Barambangan (Analisis Maq\\uc0\\u226{}shid Asy-Syar\\uc0\\u238{}\\uc0\\u8217{}ah).\\uc0\\u8221{}","pl</w:instrText>
      </w:r>
      <w:r>
        <w:instrText>ainCitation":"Rezkianoor, “Perkara 18 Undang-Undang Sultan Adam Tentang Barambangan (Analisis Maqâshid Asy-Syarî’ah).”","noteIndex":14},"citationItems":[{"id":371,"uris":["http://zotero.org/users/local/aqQgz9ay/items/Z9RBXSY7"],"uri":["http://zotero.org/us</w:instrText>
      </w:r>
      <w:r>
        <w:instrText>ers/local/aqQgz9ay/items/Z9RBXSY7"],"itemData":{"id":371,"type":"thesis","abstract":"The interesting thing in the history of the Sultanate of Banjar occurred during the reign of Sultan Adam. He has successfully applied an Islamic law in the land of Banjar,</w:instrText>
      </w:r>
      <w:r>
        <w:instrText xml:space="preserve"> which he realized in Sultan Adam's Law. One of the interesting chapter to be studied is Chapter 18 on Barambangan. The concept of barambangan in this law still seems taboo, in which the law of the husband is not allowed to touch his wife during barambanga</w:instrText>
      </w:r>
      <w:r>
        <w:instrText>n. In fact, the husband and wife who are currently in barambangan are still legally married and have rights and obligations of each, including to touch her. This is where this research conducted, it is trying to review the concept of barambangan in Chapter</w:instrText>
      </w:r>
      <w:r>
        <w:instrText xml:space="preserve"> 18 of Sultan Adam's Law and reviewing its juridical principles from the maqâshid asy-syarî'ah perspective.\n\nThe type of this research is normative legal research with conceptual and historical approach. This study also collaborated with empirical data a</w:instrText>
      </w:r>
      <w:r>
        <w:instrText>s a support. This study uses primary, secondary, and non-legal legal materials. The technique for collecting these three legal materials are documentary and interview. Then, analyze it qualitatively, and the result is specifically concluded.\n\nThe results</w:instrText>
      </w:r>
      <w:r>
        <w:instrText xml:space="preserve"> of the study show, that conceptually, barambangan is a gap situation in marriage to determine the choice to reunite or divorce, because, between husband and wife the situation is already in a tenuous position because of household problems, and they have s</w:instrText>
      </w:r>
      <w:r>
        <w:instrText>eparated their place of residence. There are three laws in Chapter 18 of Sultan Adam's Law, namely, first, when barambangan, the husband is not allowed to touch or to invite his wife to reunite directly, however, he is ordered to immediately reconcile firs</w:instrText>
      </w:r>
      <w:r>
        <w:instrText xml:space="preserve">t, second, the reconciliation of husband and wife who do barambangan is carried out by judges (representatives of Islamic law) and relatives of husband and wife (representatives of common law), and third, when the problem of barambangan is too complicated </w:instrText>
      </w:r>
      <w:r>
        <w:instrText xml:space="preserve">and get deadlock, the judge will delegate to the sultan in its settlement. From the maqâshid asy-syarî'ah perspective, there are five main principles in the Chapter 18, namely, hifzh ad-dîn, hifzh an-nafs, hifzh al-'irdh, hifzh al-'aql, and hifzh an-nasl. </w:instrText>
      </w:r>
      <w:r>
        <w:instrText>The barambangan law in Chapter 18 is included in the level of maqâshid at-tahsîniyât and it is a form of “maslahat”, and to anticipate the “mafsadat” of Banjar society, especially for married couples who are in barambangan situations.","genre":"masters","l</w:instrText>
      </w:r>
      <w:r>
        <w:instrText>anguage":"en","note":"DOI: 10/LAMPIRAN.pdf","publisher":"Pascasarjana","source":"idr.uin-antasari.ac.id","title":"Perkara 18 Undang-Undang Sultan Adam tentang Barambangan (Analisis Maqâshid asy-Syarî'ah)","URL":"http://idr.uin-antasari.ac.id/10446/","autho</w:instrText>
      </w:r>
      <w:r>
        <w:instrText xml:space="preserve">r":[{"family":"Rezkianoor","given":"M. Syahriza"}],"accessed":{"date-parts":[["2020",11,17]]},"issued":{"date-parts":[["2018",8,16]]}}}],"schema":"https://github.com/citation-style-language/schema/raw/master/csl-citation.json"} </w:instrText>
      </w:r>
      <w:r>
        <w:fldChar w:fldCharType="separate"/>
      </w:r>
      <w:r>
        <w:rPr>
          <w:szCs w:val="24"/>
        </w:rPr>
        <w:t>Rezkianoor, “Perkara 18 Unda</w:t>
      </w:r>
      <w:r>
        <w:rPr>
          <w:szCs w:val="24"/>
        </w:rPr>
        <w:t xml:space="preserve">ng-Undang Sultan Adam Tentang </w:t>
      </w:r>
      <w:r>
        <w:rPr>
          <w:i/>
          <w:iCs/>
          <w:szCs w:val="24"/>
        </w:rPr>
        <w:t>Barambangan</w:t>
      </w:r>
      <w:r>
        <w:rPr>
          <w:szCs w:val="24"/>
        </w:rPr>
        <w:t xml:space="preserve"> (Analisis Maqâshid Asy-Syarî’ah).”</w:t>
      </w:r>
      <w:r>
        <w:fldChar w:fldCharType="end"/>
      </w:r>
      <w:r>
        <w:t>: 62.</w:t>
      </w:r>
    </w:p>
  </w:footnote>
  <w:footnote w:id="13">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{"citationID":"zy5y36h4","properties":{"formattedCitation":"Effendi, \\uc0\\u8220{}Struktur Dan Makna Undang-Undang Sultan Adam Pada Masa</w:instrText>
      </w:r>
      <w:r>
        <w:instrText xml:space="preserve"> Kerajaan Banjar Kalimantan Selatan.\\uc0\\u8221{}","plainCitation":"Effendi, “Struktur Dan Makna Undang-Undang Sultan Adam Pada Masa Kerajaan Banjar Kalimantan Selatan.”","noteIndex":14},"citationItems":[{"id":367,"uris":["http://zotero.org/users/local/aq</w:instrText>
      </w:r>
      <w:r>
        <w:instrText>Qgz9ay/items/5KMW2S63"],"uri":["http://zotero.org/users/local/aqQgz9ay/items/5KMW2S63"],"itemData":{"id":367,"type":"article-journal","abstract":"This study aims to describe the backgrounds of the birth and meaning of Undangundang Sultan Adam (UUSA). It em</w:instrText>
      </w:r>
      <w:r>
        <w:instrText>ployed the hermeneutic method and philology. The data source was the UUSA text written in the era when Sultan Adam reigned over the Banjar Kingdom in 1825-1857. The findings are as follows. First, the birth of UUSA was due to the fight of two sects, i.e. a</w:instrText>
      </w:r>
      <w:r>
        <w:instrText>hlusunah waljamaah and ahlal albidaah. Second, the whole meaning of the UUSA text shows that: (1) the Banjar Kingdom was a theocratic kingdom, (2) ulemas and religious organizations played dominant roles in the government, (3) legal religious organizations</w:instrText>
      </w:r>
      <w:r>
        <w:instrText xml:space="preserve"> were those in the Safii sect, (4) UUSA was written on the basis of the ideas of the ulema of the Banjar Kingdom, namely Haji Djamaloedin, and (5) UUSA aimed to serve as religious experience perfection, a guide for judges to make decisions, and an attempt </w:instrText>
      </w:r>
      <w:r>
        <w:instrText>to counter other religious organizations growing during the era.","container-title":"LITERA","DOI":"10.21831/ltr.v12i02.1586","ISSN":"2460-8319","issue":"2","language":"en","note":"number: 2","source":"journal.uny.ac.id","title":"Struktur dan Makna Undang-</w:instrText>
      </w:r>
      <w:r>
        <w:instrText>Undang Sultan Adam Pada Masa Kerajaan Banjar Kalimantan Selatan","URL":"https://journal.uny.ac.id/index.php/litera/article/view/1586","volume":"12","author":[{"family":"Effendi","given":"Rustam"}],"accessed":{"date-parts":[["2020",11,17]]},"issued":{"date-</w:instrText>
      </w:r>
      <w:r>
        <w:instrText xml:space="preserve">parts":[["2013"]]}}}],"schema":"https://github.com/citation-style-language/schema/raw/master/csl-citation.json"} </w:instrText>
      </w:r>
      <w:r>
        <w:fldChar w:fldCharType="separate"/>
      </w:r>
      <w:r>
        <w:rPr>
          <w:szCs w:val="24"/>
        </w:rPr>
        <w:t>Effendi, “Struktur Dan Makna Undang-Undang Sultan Adam Pada Masa Kerajaan Banjar Kalimantan Selatan.”</w:t>
      </w:r>
      <w:r>
        <w:fldChar w:fldCharType="end"/>
      </w:r>
      <w:r>
        <w:t>: 262</w:t>
      </w:r>
    </w:p>
  </w:footnote>
  <w:footnote w:id="14">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{"citationID":"ZpxXvxkV","properties":{"formattedCitation":"Al Amruzi, Umar, and Hafidzi, \\uc0\\u8220{}Sultan Adam Law in The Progressive Law Perspective in Banjar Communities in The 18th Century Ad.\\uc0\\u8221{}","plainCi</w:instrText>
      </w:r>
      <w:r>
        <w:instrText>tation":"Al Amruzi, Umar, and Hafidzi, “Sultan Adam Law in The Progressive Law Perspective in Banjar Communities in The 18th Century Ad.”","noteIndex":16},"citationItems":[{"id":382,"uris":["http://zotero.org/users/local/aqQgz9ay/items/3PLYVTBG"],"uri":["h</w:instrText>
      </w:r>
      <w:r>
        <w:instrText>ttp://zotero.org/users/local/aqQgz9ay/items/3PLYVTBG"],"itemData":{"id":382,"type":"article-journal","container-title":"JURNAL ILMIAH MIZANI: Wacana Hukum, Ekonomi, dan Keagamaan","issue":"1","page":"11–24","source":"Google Scholar","title":"Sultan Adam La</w:instrText>
      </w:r>
      <w:r>
        <w:instrText>w in The Progressive Law Perspective in Banjar Communities in The 18th Century Ad","volume":"7","author":[{"family":"Al Amruzi","given":"Muhammad Fahmi"},{"family":"Umar","given":"Masyitah"},{"family":"Hafidzi","given":"Anwar"}],"issued":{"date-parts":[["2</w:instrText>
      </w:r>
      <w:r>
        <w:instrText xml:space="preserve">020"]]}}}],"schema":"https://github.com/citation-style-language/schema/raw/master/csl-citation.json"} </w:instrText>
      </w:r>
      <w:r>
        <w:fldChar w:fldCharType="separate"/>
      </w:r>
      <w:r>
        <w:rPr>
          <w:szCs w:val="24"/>
        </w:rPr>
        <w:t>Al Amruzi, Umar, and Hafidzi, “Sultan Adam Law in The Progressive Law Perspective in Banjar Communities in The 18th Century Ad.”</w:t>
      </w:r>
      <w:r>
        <w:fldChar w:fldCharType="end"/>
      </w:r>
      <w:r>
        <w:t>: 15.</w:t>
      </w:r>
    </w:p>
  </w:footnote>
  <w:footnote w:id="15">
    <w:p w:rsidR="0053678A" w:rsidRDefault="001057F2">
      <w:pPr>
        <w:pStyle w:val="FootnoteText"/>
        <w:jc w:val="both"/>
      </w:pPr>
      <w:r>
        <w:rPr>
          <w:rStyle w:val="FootnoteReference"/>
        </w:rPr>
        <w:footnoteRef/>
      </w:r>
      <w:r>
        <w:t xml:space="preserve"> </w:t>
      </w:r>
      <w:r>
        <w:fldChar w:fldCharType="begin"/>
      </w:r>
      <w:r>
        <w:instrText xml:space="preserve"> ADDIN ZOTERO_I</w:instrText>
      </w:r>
      <w:r>
        <w:instrText>TEM CSL_CITATION {"citationID":"dQ0wwP6E","properties":{"formattedCitation":"Abdurrahman Abdurrahman, \\uc0\\u8220{}Undang-Undang Sultan Adam 1835 Dalam Perspektif Sejarah Hukum,\\uc0\\u8221{} {\\i{}Al-Banjari\\uc0\\u8239{}: Jurnal Ilmiah Ilmu-Ilmu Keislam</w:instrText>
      </w:r>
      <w:r>
        <w:instrText>an} 10, no. 2 (November 10, 2011), doi:10.18592/al-banjari.v10i2.1042.","plainCitation":"Abdurrahman Abdurrahman, “Undang-Undang Sultan Adam 1835 Dalam Perspektif Sejarah Hukum,” Al-Banjari : Jurnal Ilmiah Ilmu-Ilmu Keislaman 10, no. 2 (November 10, 2011),</w:instrText>
      </w:r>
      <w:r>
        <w:instrText xml:space="preserve"> doi:10.18592/al-banjari.v10i2.1042.","dontUpdate":true,"noteIndex":17},"citationItems":[{"id":361,"uris":["http://zotero.org/users/local/aqQgz9ay/items/2CECFTVR"],"uri":["http://zotero.org/users/local/aqQgz9ay/items/2CECFTVR"],"itemData":{"id":361,"type":</w:instrText>
      </w:r>
      <w:r>
        <w:instrText xml:space="preserve">"article-journal","abstract":"Undang-undang Sultan Adam sebagai perangkat hukum peninggalan masa lalu kurang mendapatkan perhatian baik dari kalangan para ahli hukum maupun dari sejarawan, bahkan sampai sekarang ini teks peraturan itu belum pernah ditulis </w:instrText>
      </w:r>
      <w:r>
        <w:instrText xml:space="preserve">dalam bahasa Indonesia karena sampai saat ini dokumen itu masih tertulis dalam bahasa Melayu/Banjar disertai terjemahannya dalam bahasa Belanda. Karena itu wajar apabila dokumen hukum itu tidak tersebar secara meluas dikalangan para ilmuan. Di sampimg itu </w:instrText>
      </w:r>
      <w:r>
        <w:instrText>dokumen hukum itu juga penting sebagai informasi bagi generasi mendatang tentang keberhasilan yang pernah dicapai oleh nenek moyang mereka dimasa lampau dalam menetapkan hukum di dalam masyarakatnya.","container-title":"Al-Banjari : Jurnal Ilmiah Ilmu-Ilmu</w:instrText>
      </w:r>
      <w:r>
        <w:instrText xml:space="preserve"> Keislaman","DOI":"10.18592/al-banjari.v10i2.1042","ISSN":"2527-6778","issue":"2","language":"en-US","source":"jurnal.uin-antasari.ac.id","title":"Undang-Undang Sultan Adam 1835 dalam Perspektif Sejarah Hukum","URL":"http://jurnal.uin-antasari.ac.id/index.</w:instrText>
      </w:r>
      <w:r>
        <w:instrText>php/al-banjari/article/view/1042","volume":"10","author":[{"family":"Abdurrahman","given":"Abdurrahman"}],"accessed":{"date-parts":[["2020",11,17]]},"issued":{"date-parts":[["2011",11,10]]}}}],"schema":"https://github.com/citation-style-language/schema/raw</w:instrText>
      </w:r>
      <w:r>
        <w:instrText xml:space="preserve">/master/csl-citation.json"} </w:instrText>
      </w:r>
      <w:r>
        <w:fldChar w:fldCharType="separate"/>
      </w:r>
      <w:r>
        <w:rPr>
          <w:szCs w:val="24"/>
        </w:rPr>
        <w:t xml:space="preserve">Abdurrahman Abdurrahman, “Undang-Undang Sultan Adam 1835 Dalam Perspektif Sejarah Hukum,” </w:t>
      </w:r>
      <w:r>
        <w:rPr>
          <w:i/>
          <w:iCs/>
          <w:szCs w:val="24"/>
        </w:rPr>
        <w:t>Al-Banjari : Jurnal Ilmiah Ilmu-Ilmu Keislaman</w:t>
      </w:r>
      <w:r>
        <w:rPr>
          <w:szCs w:val="24"/>
        </w:rPr>
        <w:t xml:space="preserve"> 10, no. 2 (November 10, 2011): 185.</w:t>
      </w:r>
      <w:r>
        <w:fldChar w:fldCharType="end"/>
      </w:r>
    </w:p>
  </w:footnote>
  <w:footnote w:id="16">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{"citationID":"fWO</w:instrText>
      </w:r>
      <w:r>
        <w:instrText>vK1Q9","properties":{"formattedCitation":"Ibid.","plainCitation":"Ibid.","dontUpdate":true,"noteIndex":18},"citationItems":[{"id":361,"uris":["http://zotero.org/users/local/aqQgz9ay/items/2CECFTVR"],"uri":["http://zotero.org/users/local/aqQgz9ay/items/2CEC</w:instrText>
      </w:r>
      <w:r>
        <w:instrText xml:space="preserve">FTVR"],"itemData":{"id":361,"type":"article-journal","abstract":"Undang-undang Sultan Adam sebagai perangkat hukum peninggalan masa lalu kurang mendapatkan perhatian baik dari kalangan para ahli hukum maupun dari sejarawan, bahkan sampai sekarang ini teks </w:instrText>
      </w:r>
      <w:r>
        <w:instrText>peraturan itu belum pernah ditulis dalam bahasa Indonesia karena sampai saat ini dokumen itu masih tertulis dalam bahasa Melayu/Banjar disertai terjemahannya dalam bahasa Belanda. Karena itu wajar apabila dokumen hukum itu tidak tersebar secara meluas dika</w:instrText>
      </w:r>
      <w:r>
        <w:instrText>langan para ilmuan. Di sampimg itu dokumen hukum itu juga penting sebagai informasi bagi generasi mendatang tentang keberhasilan yang pernah dicapai oleh nenek moyang mereka dimasa lampau dalam menetapkan hukum di dalam masyarakatnya.","container-title":"A</w:instrText>
      </w:r>
      <w:r>
        <w:instrText>l-Banjari : Jurnal Ilmiah Ilmu-Ilmu Keislaman","DOI":"10.18592/al-banjari.v10i2.1042","ISSN":"2527-6778","issue":"2","language":"en-US","source":"jurnal.uin-antasari.ac.id","title":"Undang-Undang Sultan Adam 1835 dalam Perspektif Sejarah Hukum","URL":"http</w:instrText>
      </w:r>
      <w:r>
        <w:instrText>://jurnal.uin-antasari.ac.id/index.php/al-banjari/article/view/1042","volume":"10","author":[{"family":"Abdurrahman","given":"Abdurrahman"}],"accessed":{"date-parts":[["2020",11,17]]},"issued":{"date-parts":[["2011",11,10]]}}}],"schema":"https://github.com</w:instrText>
      </w:r>
      <w:r>
        <w:instrText xml:space="preserve">/citation-style-language/schema/raw/master/csl-citation.json"} </w:instrText>
      </w:r>
      <w:r>
        <w:fldChar w:fldCharType="separate"/>
      </w:r>
      <w:r>
        <w:t>Ibid: 174.</w:t>
      </w:r>
      <w:r>
        <w:fldChar w:fldCharType="end"/>
      </w:r>
    </w:p>
  </w:footnote>
  <w:footnote w:id="17">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{"citationID":"GSvh65yh","properties":{"formattedCitation":"Sjarifuddin Haji, {\\i{}Sejarah Banjar} (Pemerintah Propinsi Kalimantan Selatan, 2003</w:instrText>
      </w:r>
      <w:r>
        <w:instrText>).","plainCitation":"Sjarifuddin Haji, Sejarah Banjar (Pemerintah Propinsi Kalimantan Selatan, 2003).","dontUpdate":true,"noteIndex":19},"citationItems":[{"id":387,"uris":["http://zotero.org/users/local/aqQgz9ay/items/GTTWZ25Z"],"uri":["http://zotero.org/u</w:instrText>
      </w:r>
      <w:r>
        <w:instrText>sers/local/aqQgz9ay/items/GTTWZ25Z"],"itemData":{"id":387,"type":"book","publisher":"Pemerintah Propinsi Kalimantan Selatan","title":"Sejarah Banjar","author":[{"family":"Haji","given":"Sjarifuddin"}],"issued":{"date-parts":[["2003"]]}}}],"schema":"https:/</w:instrText>
      </w:r>
      <w:r>
        <w:instrText xml:space="preserve">/github.com/citation-style-language/schema/raw/master/csl-citation.json"} </w:instrText>
      </w:r>
      <w:r>
        <w:fldChar w:fldCharType="separate"/>
      </w:r>
      <w:r>
        <w:rPr>
          <w:szCs w:val="24"/>
        </w:rPr>
        <w:t xml:space="preserve">Sjarifuddin Haji, </w:t>
      </w:r>
      <w:r>
        <w:rPr>
          <w:i/>
          <w:iCs/>
          <w:szCs w:val="24"/>
        </w:rPr>
        <w:t>Sejarah Banjar</w:t>
      </w:r>
      <w:r>
        <w:rPr>
          <w:szCs w:val="24"/>
        </w:rPr>
        <w:t xml:space="preserve"> (Pemerintah Propinsi Kalimantan Selatan, 2003): 232.</w:t>
      </w:r>
      <w:r>
        <w:fldChar w:fldCharType="end"/>
      </w:r>
    </w:p>
  </w:footnote>
  <w:footnote w:id="18">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{"citationID":"Ewxr2I1R","properties":{"formattedCitation":</w:instrText>
      </w:r>
      <w:r>
        <w:instrText xml:space="preserve">"H. S. Salim and Erlies Septiana Nurbani, \\uc0\\u8220{}Penerapan Teori Hukum Pada Penelitian Tesis Dan Disertasi,\\uc0\\u8221{} {\\i{}Raja Grafindo Persada, Jakarta}, 2013.","plainCitation":"H. S. Salim and Erlies Septiana Nurbani, “Penerapan Teori Hukum </w:instrText>
      </w:r>
      <w:r>
        <w:instrText>Pada Penelitian Tesis Dan Disertasi,” Raja Grafindo Persada, Jakarta, 2013.","dontUpdate":true,"noteIndex":19},"citationItems":[{"id":374,"uris":["http://zotero.org/users/local/aqQgz9ay/items/BLBIKL3P"],"uri":["http://zotero.org/users/local/aqQgz9ay/items/</w:instrText>
      </w:r>
      <w:r>
        <w:instrText>BLBIKL3P"],"itemData":{"id":374,"type":"article-journal","container-title":"Raja Grafindo Persada, Jakarta","source":"Google Scholar","title":"Penerapan Teori hukum pada penelitian tesis dan disertasi","author":[{"family":"Salim","given":"H. S."},{"family"</w:instrText>
      </w:r>
      <w:r>
        <w:instrText xml:space="preserve">:"Nurbani","given":"Erlies Septiana"}],"issued":{"date-parts":[["2013"]]}}}],"schema":"https://github.com/citation-style-language/schema/raw/master/csl-citation.json"} </w:instrText>
      </w:r>
      <w:r>
        <w:fldChar w:fldCharType="separate"/>
      </w:r>
      <w:r>
        <w:rPr>
          <w:szCs w:val="24"/>
        </w:rPr>
        <w:t>H. S. Salim and Erlies Septiana Nurbani, “Penerapan Teori Hukum Pada Penelitian Tesis Da</w:t>
      </w:r>
      <w:r>
        <w:rPr>
          <w:szCs w:val="24"/>
        </w:rPr>
        <w:t xml:space="preserve">n Disertasi,” </w:t>
      </w:r>
      <w:r>
        <w:rPr>
          <w:i/>
          <w:iCs/>
          <w:szCs w:val="24"/>
        </w:rPr>
        <w:t>Raja Grafindo Persada, Jakarta</w:t>
      </w:r>
      <w:r>
        <w:rPr>
          <w:szCs w:val="24"/>
        </w:rPr>
        <w:t>, 2013: 264.</w:t>
      </w:r>
      <w:r>
        <w:fldChar w:fldCharType="end"/>
      </w:r>
    </w:p>
  </w:footnote>
  <w:footnote w:id="19">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{"citationID":"XYVmOmrG","properties":{"formattedCitation":"Ibid.","plainCitation":"Ibid.","dontUpdate":true,"noteIndex":20},"citationItems":[{"id":374,"uris":["h</w:instrText>
      </w:r>
      <w:r>
        <w:instrText>ttp://zotero.org/users/local/aqQgz9ay/items/BLBIKL3P"],"uri":["http://zotero.org/users/local/aqQgz9ay/items/BLBIKL3P"],"itemData":{"id":374,"type":"article-journal","container-title":"Raja Grafindo Persada, Jakarta","source":"Google Scholar","title":"Pener</w:instrText>
      </w:r>
      <w:r>
        <w:instrText>apan Teori hukum pada penelitian tesis dan disertasi","author":[{"family":"Salim","given":"H. S."},{"family":"Nurbani","given":"Erlies Septiana"}],"issued":{"date-parts":[["2013"]]}}}],"schema":"https://github.com/citation-style-language/schema/raw/master/</w:instrText>
      </w:r>
      <w:r>
        <w:instrText xml:space="preserve">csl-citation.json"} </w:instrText>
      </w:r>
      <w:r>
        <w:fldChar w:fldCharType="separate"/>
      </w:r>
      <w:r>
        <w:t>Ibid: 266.</w:t>
      </w:r>
      <w:r>
        <w:fldChar w:fldCharType="end"/>
      </w:r>
    </w:p>
  </w:footnote>
  <w:footnote w:id="20">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{"citationID":"p9OThqSb","properties":{"formattedCitation":"Rezkianoor, \\uc0\\u8220{}Perkara 18 Undang-Undang Sultan Adam Tentang Barambangan (Analisis Maq\\uc0\\u226{}shid Asy-Syar\\uc0\</w:instrText>
      </w:r>
      <w:r>
        <w:instrText>\u238{}\\uc0\\u8217{}ah).\\uc0\\u8221{}","plainCitation":"Rezkianoor, “Perkara 18 Undang-Undang Sultan Adam Tentang Barambangan (Analisis Maqâshid Asy-Syarî’ah).”","noteIndex":22},"citationItems":[{"id":371,"uris":["http://zotero.org/users/local/aqQgz9ay/i</w:instrText>
      </w:r>
      <w:r>
        <w:instrText>tems/Z9RBXSY7"],"uri":["http://zotero.org/users/local/aqQgz9ay/items/Z9RBXSY7"],"itemData":{"id":371,"type":"thesis","abstract":"The interesting thing in the history of the Sultanate of Banjar occurred during the reign of Sultan Adam. He has successfully a</w:instrText>
      </w:r>
      <w:r>
        <w:instrText>pplied an Islamic law in the land of Banjar, which he realized in Sultan Adam's Law. One of the interesting chapter to be studied is Chapter 18 on Barambangan. The concept of barambangan in this law still seems taboo, in which the law of the husband is not</w:instrText>
      </w:r>
      <w:r>
        <w:instrText xml:space="preserve"> allowed to touch his wife during barambangan. In fact, the husband and wife who are currently in barambangan are still legally married and have rights and obligations of each, including to touch her. This is where this research conducted, it is trying to </w:instrText>
      </w:r>
      <w:r>
        <w:instrText>review the concept of barambangan in Chapter 18 of Sultan Adam's Law and reviewing its juridical principles from the maqâshid asy-syarî'ah perspective.\n\nThe type of this research is normative legal research with conceptual and historical approach. This s</w:instrText>
      </w:r>
      <w:r>
        <w:instrText>tudy also collaborated with empirical data as a support. This study uses primary, secondary, and non-legal legal materials. The technique for collecting these three legal materials are documentary and interview. Then, analyze it qualitatively, and the resu</w:instrText>
      </w:r>
      <w:r>
        <w:instrText>lt is specifically concluded.\n\nThe results of the study show, that conceptually, barambangan is a gap situation in marriage to determine the choice to reunite or divorce, because, between husband and wife the situation is already in a tenuous position be</w:instrText>
      </w:r>
      <w:r>
        <w:instrText>cause of household problems, and they have separated their place of residence. There are three laws in Chapter 18 of Sultan Adam's Law, namely, first, when barambangan, the husband is not allowed to touch or to invite his wife to reunite directly, however,</w:instrText>
      </w:r>
      <w:r>
        <w:instrText xml:space="preserve"> he is ordered to immediately reconcile first, second, the reconciliation of husband and wife who do barambangan is carried out by judges (representatives of Islamic law) and relatives of husband and wife (representatives of common law), and third, when th</w:instrText>
      </w:r>
      <w:r>
        <w:instrText xml:space="preserve">e problem of barambangan is too complicated and get deadlock, the judge will delegate to the sultan in its settlement. From the maqâshid asy-syarî'ah perspective, there are five main principles in the Chapter 18, namely, hifzh ad-dîn, hifzh an-nafs, hifzh </w:instrText>
      </w:r>
      <w:r>
        <w:instrText>al-'irdh, hifzh al-'aql, and hifzh an-nasl. The barambangan law in Chapter 18 is included in the level of maqâshid at-tahsîniyât and it is a form of “maslahat”, and to anticipate the “mafsadat” of Banjar society, especially for married couples who are in b</w:instrText>
      </w:r>
      <w:r>
        <w:instrText>arambangan situations.","genre":"masters","language":"en","note":"DOI: 10/LAMPIRAN.pdf","publisher":"Pascasarjana","source":"idr.uin-antasari.ac.id","title":"Perkara 18 Undang-Undang Sultan Adam tentang Barambangan (Analisis Maqâshid asy-Syarî'ah)","URL":"</w:instrText>
      </w:r>
      <w:r>
        <w:instrText>http://idr.uin-antasari.ac.id/10446/","author":[{"family":"Rezkianoor","given":"M. Syahriza"}],"accessed":{"date-parts":[["2020",11,17]]},"issued":{"date-parts":[["2018",8,16]]}}}],"schema":"https://github.com/citation-style-language/schema/raw/master/csl-</w:instrText>
      </w:r>
      <w:r>
        <w:instrText xml:space="preserve">citation.json"} </w:instrText>
      </w:r>
      <w:r>
        <w:fldChar w:fldCharType="separate"/>
      </w:r>
      <w:r>
        <w:rPr>
          <w:szCs w:val="24"/>
        </w:rPr>
        <w:t xml:space="preserve">Rezkianoor, “Perkara 18 Undang-Undang Sultan Adam Tentang </w:t>
      </w:r>
      <w:r>
        <w:rPr>
          <w:i/>
          <w:iCs/>
          <w:szCs w:val="24"/>
        </w:rPr>
        <w:t>Barambangan</w:t>
      </w:r>
      <w:r>
        <w:rPr>
          <w:szCs w:val="24"/>
        </w:rPr>
        <w:t xml:space="preserve"> (Analisis Maqâshid Asy-Syarî’ah).”</w:t>
      </w:r>
      <w:r>
        <w:fldChar w:fldCharType="end"/>
      </w:r>
      <w:r>
        <w:t>: 64,65,67.</w:t>
      </w:r>
    </w:p>
  </w:footnote>
  <w:footnote w:id="21">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{"citationID":"YGj5DIjS","properties":{"formattedCitation":"Ibid.","plainCitation":"Ibi</w:instrText>
      </w:r>
      <w:r>
        <w:instrText>d.","noteIndex":23},"citationItems":[{"id":371,"uris":["http://zotero.org/users/local/aqQgz9ay/items/Z9RBXSY7"],"uri":["http://zotero.org/users/local/aqQgz9ay/items/Z9RBXSY7"],"itemData":{"id":371,"type":"thesis","abstract":"The interesting thing in the hi</w:instrText>
      </w:r>
      <w:r>
        <w:instrText xml:space="preserve">story of the Sultanate of Banjar occurred during the reign of Sultan Adam. He has successfully applied an Islamic law in the land of Banjar, which he realized in Sultan Adam's Law. One of the interesting chapter to be studied is Chapter 18 on Barambangan. </w:instrText>
      </w:r>
      <w:r>
        <w:instrText>The concept of barambangan in this law still seems taboo, in which the law of the husband is not allowed to touch his wife during barambangan. In fact, the husband and wife who are currently in barambangan are still legally married and have rights and obli</w:instrText>
      </w:r>
      <w:r>
        <w:instrText>gations of each, including to touch her. This is where this research conducted, it is trying to review the concept of barambangan in Chapter 18 of Sultan Adam's Law and reviewing its juridical principles from the maqâshid asy-syarî'ah perspective.\n\nThe t</w:instrText>
      </w:r>
      <w:r>
        <w:instrText>ype of this research is normative legal research with conceptual and historical approach. This study also collaborated with empirical data as a support. This study uses primary, secondary, and non-legal legal materials. The technique for collecting these t</w:instrText>
      </w:r>
      <w:r>
        <w:instrText>hree legal materials are documentary and interview. Then, analyze it qualitatively, and the result is specifically concluded.\n\nThe results of the study show, that conceptually, barambangan is a gap situation in marriage to determine the choice to reunite</w:instrText>
      </w:r>
      <w:r>
        <w:instrText xml:space="preserve"> or divorce, because, between husband and wife the situation is already in a tenuous position because of household problems, and they have separated their place of residence. There are three laws in Chapter 18 of Sultan Adam's Law, namely, first, when bara</w:instrText>
      </w:r>
      <w:r>
        <w:instrText>mbangan, the husband is not allowed to touch or to invite his wife to reunite directly, however, he is ordered to immediately reconcile first, second, the reconciliation of husband and wife who do barambangan is carried out by judges (representatives of Is</w:instrText>
      </w:r>
      <w:r>
        <w:instrText>lamic law) and relatives of husband and wife (representatives of common law), and third, when the problem of barambangan is too complicated and get deadlock, the judge will delegate to the sultan in its settlement. From the maqâshid asy-syarî'ah perspectiv</w:instrText>
      </w:r>
      <w:r>
        <w:instrText>e, there are five main principles in the Chapter 18, namely, hifzh ad-dîn, hifzh an-nafs, hifzh al-'irdh, hifzh al-'aql, and hifzh an-nasl. The barambangan law in Chapter 18 is included in the level of maqâshid at-tahsîniyât and it is a form of “maslahat”,</w:instrText>
      </w:r>
      <w:r>
        <w:instrText xml:space="preserve"> and to anticipate the “mafsadat” of Banjar society, especially for married couples who are in barambangan situations.","genre":"masters","language":"en","note":"DOI: 10/LAMPIRAN.pdf","publisher":"Pascasarjana","source":"idr.uin-antasari.ac.id","title":"Pe</w:instrText>
      </w:r>
      <w:r>
        <w:instrText>rkara 18 Undang-Undang Sultan Adam tentang Barambangan (Analisis Maqâshid asy-Syarî'ah)","URL":"http://idr.uin-antasari.ac.id/10446/","author":[{"family":"Rezkianoor","given":"M. Syahriza"}],"accessed":{"date-parts":[["2020",11,17]]},"issued":{"date-parts"</w:instrText>
      </w:r>
      <w:r>
        <w:instrText xml:space="preserve">:[["2018",8,16]]}}}],"schema":"https://github.com/citation-style-language/schema/raw/master/csl-citation.json"} </w:instrText>
      </w:r>
      <w:r>
        <w:fldChar w:fldCharType="separate"/>
      </w:r>
      <w:r>
        <w:t>Ibid.</w:t>
      </w:r>
      <w:r>
        <w:fldChar w:fldCharType="end"/>
      </w:r>
    </w:p>
  </w:footnote>
  <w:footnote w:id="22">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{"citationID":"0RglEseS","properties":{"formattedCitation":"Salim and Nurbani, \\uc0\\u8220{}Penerapa</w:instrText>
      </w:r>
      <w:r>
        <w:instrText>n Teori Hukum Pada Penelitian Tesis Dan Disertasi.\\uc0\\u8221{}","plainCitation":"Salim and Nurbani, “Penerapan Teori Hukum Pada Penelitian Tesis Dan Disertasi.”","noteIndex":23},"citationItems":[{"id":374,"uris":["http://zotero.org/users/local/aqQgz9ay/i</w:instrText>
      </w:r>
      <w:r>
        <w:instrText xml:space="preserve">tems/BLBIKL3P"],"uri":["http://zotero.org/users/local/aqQgz9ay/items/BLBIKL3P"],"itemData":{"id":374,"type":"article-journal","container-title":"Raja Grafindo Persada, Jakarta","source":"Google Scholar","title":"Penerapan Teori hukum pada penelitian tesis </w:instrText>
      </w:r>
      <w:r>
        <w:instrText xml:space="preserve">dan disertasi","author":[{"family":"Salim","given":"H. S."},{"family":"Nurbani","given":"Erlies Septiana"}],"issued":{"date-parts":[["2013"]]}}}],"schema":"https://github.com/citation-style-language/schema/raw/master/csl-citation.json"} </w:instrText>
      </w:r>
      <w:r>
        <w:fldChar w:fldCharType="separate"/>
      </w:r>
      <w:r>
        <w:rPr>
          <w:szCs w:val="24"/>
        </w:rPr>
        <w:t xml:space="preserve">Salim and Nurbani, </w:t>
      </w:r>
      <w:r>
        <w:rPr>
          <w:szCs w:val="24"/>
        </w:rPr>
        <w:t>“Penerapan Teori Hukum Pada Penelitian Tesis Dan Disertasi.”</w:t>
      </w:r>
      <w:r>
        <w:fldChar w:fldCharType="end"/>
      </w:r>
      <w:r>
        <w:t>: 136.</w:t>
      </w:r>
    </w:p>
  </w:footnote>
  <w:footnote w:id="23">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{"citationID":"GSfqKlTK","properties":{"formattedCitation":"Ibid.","plainCitation":"Ibid.","dontUpdate":true,"noteIndex":24},"citationItems":[{"id":374,</w:instrText>
      </w:r>
      <w:r>
        <w:instrText>"uris":["http://zotero.org/users/local/aqQgz9ay/items/BLBIKL3P"],"uri":["http://zotero.org/users/local/aqQgz9ay/items/BLBIKL3P"],"itemData":{"id":374,"type":"article-journal","container-title":"Raja Grafindo Persada, Jakarta","source":"Google Scholar","tit</w:instrText>
      </w:r>
      <w:r>
        <w:instrText>le":"Penerapan Teori hukum pada penelitian tesis dan disertasi","author":[{"family":"Salim","given":"H. S."},{"family":"Nurbani","given":"Erlies Septiana"}],"issued":{"date-parts":[["2013"]]}}}],"schema":"https://github.com/citation-style-language/schema/r</w:instrText>
      </w:r>
      <w:r>
        <w:instrText xml:space="preserve">aw/master/csl-citation.json"} </w:instrText>
      </w:r>
      <w:r>
        <w:fldChar w:fldCharType="separate"/>
      </w:r>
      <w:r>
        <w:t>Ibid: 148.</w:t>
      </w:r>
      <w:r>
        <w:fldChar w:fldCharType="end"/>
      </w:r>
    </w:p>
  </w:footnote>
  <w:footnote w:id="24">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{"citationID":"rv6bMMcM","properties":{"formattedCitation":"Rezkianoor, \\uc0\\u8220{}Perkara 18 Undang-Undang Sultan Adam Tentang Barambangan (Analisis Maq\\uc0\\u226{}shid Asy-</w:instrText>
      </w:r>
      <w:r>
        <w:instrText>Syar\\uc0\\u238{}\\uc0\\u8217{}ah).\\uc0\\u8221{}","plainCitation":"Rezkianoor, “Perkara 18 Undang-Undang Sultan Adam Tentang Barambangan (Analisis Maqâshid Asy-Syarî’ah).”","noteIndex":26},"citationItems":[{"id":371,"uris":["http://zotero.org/users/local/</w:instrText>
      </w:r>
      <w:r>
        <w:instrText>aqQgz9ay/items/Z9RBXSY7"],"uri":["http://zotero.org/users/local/aqQgz9ay/items/Z9RBXSY7"],"itemData":{"id":371,"type":"thesis","abstract":"The interesting thing in the history of the Sultanate of Banjar occurred during the reign of Sultan Adam. He has succ</w:instrText>
      </w:r>
      <w:r>
        <w:instrText>essfully applied an Islamic law in the land of Banjar, which he realized in Sultan Adam's Law. One of the interesting chapter to be studied is Chapter 18 on Barambangan. The concept of barambangan in this law still seems taboo, in which the law of the husb</w:instrText>
      </w:r>
      <w:r>
        <w:instrText xml:space="preserve">and is not allowed to touch his wife during barambangan. In fact, the husband and wife who are currently in barambangan are still legally married and have rights and obligations of each, including to touch her. This is where this research conducted, it is </w:instrText>
      </w:r>
      <w:r>
        <w:instrText>trying to review the concept of barambangan in Chapter 18 of Sultan Adam's Law and reviewing its juridical principles from the maqâshid asy-syarî'ah perspective.\n\nThe type of this research is normative legal research with conceptual and historical approa</w:instrText>
      </w:r>
      <w:r>
        <w:instrText>ch. This study also collaborated with empirical data as a support. This study uses primary, secondary, and non-legal legal materials. The technique for collecting these three legal materials are documentary and interview. Then, analyze it qualitatively, an</w:instrText>
      </w:r>
      <w:r>
        <w:instrText>d the result is specifically concluded.\n\nThe results of the study show, that conceptually, barambangan is a gap situation in marriage to determine the choice to reunite or divorce, because, between husband and wife the situation is already in a tenuous p</w:instrText>
      </w:r>
      <w:r>
        <w:instrText>osition because of household problems, and they have separated their place of residence. There are three laws in Chapter 18 of Sultan Adam's Law, namely, first, when barambangan, the husband is not allowed to touch or to invite his wife to reunite directly</w:instrText>
      </w:r>
      <w:r>
        <w:instrText>, however, he is ordered to immediately reconcile first, second, the reconciliation of husband and wife who do barambangan is carried out by judges (representatives of Islamic law) and relatives of husband and wife (representatives of common law), and thir</w:instrText>
      </w:r>
      <w:r>
        <w:instrText>d, when the problem of barambangan is too complicated and get deadlock, the judge will delegate to the sultan in its settlement. From the maqâshid asy-syarî'ah perspective, there are five main principles in the Chapter 18, namely, hifzh ad-dîn, hifzh an-na</w:instrText>
      </w:r>
      <w:r>
        <w:instrText>fs, hifzh al-'irdh, hifzh al-'aql, and hifzh an-nasl. The barambangan law in Chapter 18 is included in the level of maqâshid at-tahsîniyât and it is a form of “maslahat”, and to anticipate the “mafsadat” of Banjar society, especially for married couples wh</w:instrText>
      </w:r>
      <w:r>
        <w:instrText>o are in barambangan situations.","genre":"masters","language":"en","note":"DOI: 10/LAMPIRAN.pdf","publisher":"Pascasarjana","source":"idr.uin-antasari.ac.id","title":"Perkara 18 Undang-Undang Sultan Adam tentang Barambangan (Analisis Maqâshid asy-Syarî'ah</w:instrText>
      </w:r>
      <w:r>
        <w:instrText>)","URL":"http://idr.uin-antasari.ac.id/10446/","author":[{"family":"Rezkianoor","given":"M. Syahriza"}],"accessed":{"date-parts":[["2020",11,17]]},"issued":{"date-parts":[["2018",8,16]]}}}],"schema":"https://github.com/citation-style-language/schema/raw/m</w:instrText>
      </w:r>
      <w:r>
        <w:instrText xml:space="preserve">aster/csl-citation.json"} </w:instrText>
      </w:r>
      <w:r>
        <w:fldChar w:fldCharType="separate"/>
      </w:r>
      <w:r>
        <w:rPr>
          <w:szCs w:val="24"/>
        </w:rPr>
        <w:t xml:space="preserve">Rezkianoor, “Perkara 18 Undang-Undang Sultan Adam Tentang </w:t>
      </w:r>
      <w:r>
        <w:rPr>
          <w:i/>
          <w:iCs/>
          <w:szCs w:val="24"/>
        </w:rPr>
        <w:t>Barambangan</w:t>
      </w:r>
      <w:r>
        <w:rPr>
          <w:szCs w:val="24"/>
        </w:rPr>
        <w:t xml:space="preserve"> (Analisis Maqâshid Asy-Syarî’ah).”</w:t>
      </w:r>
      <w:r>
        <w:fldChar w:fldCharType="end"/>
      </w:r>
      <w:r>
        <w:t>: 69.</w:t>
      </w:r>
    </w:p>
  </w:footnote>
  <w:footnote w:id="25">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{"citationID":"aeTwAZVE","properties":{"formattedCitation":"Salim and Nurbani, \\uc</w:instrText>
      </w:r>
      <w:r>
        <w:instrText>0\\u8220{}Penerapan Teori Hukum Pada Penelitian Tesis Dan Disertasi.\\uc0\\u8221{}","plainCitation":"Salim and Nurbani, “Penerapan Teori Hukum Pada Penelitian Tesis Dan Disertasi.”","noteIndex":26},"citationItems":[{"id":374,"uris":["http://zotero.org/user</w:instrText>
      </w:r>
      <w:r>
        <w:instrText>s/local/aqQgz9ay/items/BLBIKL3P"],"uri":["http://zotero.org/users/local/aqQgz9ay/items/BLBIKL3P"],"itemData":{"id":374,"type":"article-journal","container-title":"Raja Grafindo Persada, Jakarta","source":"Google Scholar","title":"Penerapan Teori hukum pada</w:instrText>
      </w:r>
      <w:r>
        <w:instrText xml:space="preserve"> penelitian tesis dan disertasi","author":[{"family":"Salim","given":"H. S."},{"family":"Nurbani","given":"Erlies Septiana"}],"issued":{"date-parts":[["2013"]]}}}],"schema":"https://github.com/citation-style-language/schema/raw/master/csl-citation.json"} </w:instrText>
      </w:r>
      <w:r>
        <w:fldChar w:fldCharType="separate"/>
      </w:r>
      <w:r>
        <w:rPr>
          <w:szCs w:val="24"/>
        </w:rPr>
        <w:t>S</w:t>
      </w:r>
      <w:r>
        <w:rPr>
          <w:szCs w:val="24"/>
        </w:rPr>
        <w:t>alim and Nurbani, “Penerapan Teori Hukum Pada Penelitian Tesis Dan Disertasi.”</w:t>
      </w:r>
      <w:r>
        <w:fldChar w:fldCharType="end"/>
      </w:r>
      <w:r>
        <w:t>: 102.</w:t>
      </w:r>
    </w:p>
  </w:footnote>
  <w:footnote w:id="26">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{"citationID":"FX4waUrB","properties":{"formattedCitation":"Rezkianoor, \\uc0\\u8220{}Perkara 18 Undang-Undang Sultan Adam Tentang Bar</w:instrText>
      </w:r>
      <w:r>
        <w:instrText>ambangan (Analisis Maq\\uc0\\u226{}shid Asy-Syar\\uc0\\u238{}\\uc0\\u8217{}ah).\\uc0\\u8221{}","plainCitation":"Rezkianoor, “Perkara 18 Undang-Undang Sultan Adam Tentang Barambangan (Analisis Maqâshid Asy-Syarî’ah).”","noteIndex":28},"citationItems":[{"id"</w:instrText>
      </w:r>
      <w:r>
        <w:instrText xml:space="preserve">:371,"uris":["http://zotero.org/users/local/aqQgz9ay/items/Z9RBXSY7"],"uri":["http://zotero.org/users/local/aqQgz9ay/items/Z9RBXSY7"],"itemData":{"id":371,"type":"thesis","abstract":"The interesting thing in the history of the Sultanate of Banjar occurred </w:instrText>
      </w:r>
      <w:r>
        <w:instrText>during the reign of Sultan Adam. He has successfully applied an Islamic law in the land of Banjar, which he realized in Sultan Adam's Law. One of the interesting chapter to be studied is Chapter 18 on Barambangan. The concept of barambangan in this law sti</w:instrText>
      </w:r>
      <w:r>
        <w:instrText>ll seems taboo, in which the law of the husband is not allowed to touch his wife during barambangan. In fact, the husband and wife who are currently in barambangan are still legally married and have rights and obligations of each, including to touch her. T</w:instrText>
      </w:r>
      <w:r>
        <w:instrText>his is where this research conducted, it is trying to review the concept of barambangan in Chapter 18 of Sultan Adam's Law and reviewing its juridical principles from the maqâshid asy-syarî'ah perspective.\n\nThe type of this research is normative legal re</w:instrText>
      </w:r>
      <w:r>
        <w:instrText>search with conceptual and historical approach. This study also collaborated with empirical data as a support. This study uses primary, secondary, and non-legal legal materials. The technique for collecting these three legal materials are documentary and i</w:instrText>
      </w:r>
      <w:r>
        <w:instrText xml:space="preserve">nterview. Then, analyze it qualitatively, and the result is specifically concluded.\n\nThe results of the study show, that conceptually, barambangan is a gap situation in marriage to determine the choice to reunite or divorce, because, between husband and </w:instrText>
      </w:r>
      <w:r>
        <w:instrText>wife the situation is already in a tenuous position because of household problems, and they have separated their place of residence. There are three laws in Chapter 18 of Sultan Adam's Law, namely, first, when barambangan, the husband is not allowed to tou</w:instrText>
      </w:r>
      <w:r>
        <w:instrText>ch or to invite his wife to reunite directly, however, he is ordered to immediately reconcile first, second, the reconciliation of husband and wife who do barambangan is carried out by judges (representatives of Islamic law) and relatives of husband and wi</w:instrText>
      </w:r>
      <w:r>
        <w:instrText>fe (representatives of common law), and third, when the problem of barambangan is too complicated and get deadlock, the judge will delegate to the sultan in its settlement. From the maqâshid asy-syarî'ah perspective, there are five main principles in the C</w:instrText>
      </w:r>
      <w:r>
        <w:instrText>hapter 18, namely, hifzh ad-dîn, hifzh an-nafs, hifzh al-'irdh, hifzh al-'aql, and hifzh an-nasl. The barambangan law in Chapter 18 is included in the level of maqâshid at-tahsîniyât and it is a form of “maslahat”, and to anticipate the “mafsadat” of Banja</w:instrText>
      </w:r>
      <w:r>
        <w:instrText>r society, especially for married couples who are in barambangan situations.","genre":"masters","language":"en","note":"DOI: 10/LAMPIRAN.pdf","publisher":"Pascasarjana","source":"idr.uin-antasari.ac.id","title":"Perkara 18 Undang-Undang Sultan Adam tentang</w:instrText>
      </w:r>
      <w:r>
        <w:instrText xml:space="preserve"> Barambangan (Analisis Maqâshid asy-Syarî'ah)","URL":"http://idr.uin-antasari.ac.id/10446/","author":[{"family":"Rezkianoor","given":"M. Syahriza"}],"accessed":{"date-parts":[["2020",11,17]]},"issued":{"date-parts":[["2018",8,16]]}}}],"schema":"https://git</w:instrText>
      </w:r>
      <w:r>
        <w:instrText xml:space="preserve">hub.com/citation-style-language/schema/raw/master/csl-citation.json"} </w:instrText>
      </w:r>
      <w:r>
        <w:fldChar w:fldCharType="separate"/>
      </w:r>
      <w:r>
        <w:rPr>
          <w:szCs w:val="24"/>
        </w:rPr>
        <w:t xml:space="preserve">Rezkianoor, “Perkara 18 Undang-Undang Sultan Adam Tentang </w:t>
      </w:r>
      <w:r>
        <w:rPr>
          <w:i/>
          <w:iCs/>
          <w:szCs w:val="24"/>
        </w:rPr>
        <w:t>Barambangan</w:t>
      </w:r>
      <w:r>
        <w:rPr>
          <w:szCs w:val="24"/>
        </w:rPr>
        <w:t xml:space="preserve"> (Analisis Maqâshid Asy-Syarî’ah).”</w:t>
      </w:r>
      <w:r>
        <w:fldChar w:fldCharType="end"/>
      </w:r>
      <w:r>
        <w:t>: 72.</w:t>
      </w:r>
    </w:p>
  </w:footnote>
  <w:footnote w:id="27">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{"citationID":"myaEtmaV","properties":{</w:instrText>
      </w:r>
      <w:r>
        <w:instrText xml:space="preserve">"formattedCitation":"H. S. Salim and Erlies Septiana Nurbani, {\\i{}Penerapan Teori Hukum Pada Penelitian Disertasi Dan Tesis Buku Kedua} (Jakarta: Rajawali Pers, 2014).","plainCitation":"H. S. Salim and Erlies Septiana Nurbani, Penerapan Teori Hukum Pada </w:instrText>
      </w:r>
      <w:r>
        <w:instrText>Penelitian Disertasi Dan Tesis Buku Kedua (Jakarta: Rajawali Pers, 2014).","noteIndex":27},"citationItems":[{"id":375,"uris":["http://zotero.org/users/local/aqQgz9ay/items/ZK3SC7MR"],"uri":["http://zotero.org/users/local/aqQgz9ay/items/ZK3SC7MR"],"itemData</w:instrText>
      </w:r>
      <w:r>
        <w:instrText>":{"id":375,"type":"book","publisher":"Jakarta: Rajawali Pers","source":"Google Scholar","title":"Penerapan Teori Hukum Pada Penelitian Disertasi dan Tesis Buku Kedua","author":[{"family":"Salim","given":"H. S."},{"family":"Nurbani","given":"Erlies Septian</w:instrText>
      </w:r>
      <w:r>
        <w:instrText xml:space="preserve">a"}],"issued":{"date-parts":[["2014"]]}}}],"schema":"https://github.com/citation-style-language/schema/raw/master/csl-citation.json"} </w:instrText>
      </w:r>
      <w:r>
        <w:fldChar w:fldCharType="separate"/>
      </w:r>
      <w:r>
        <w:rPr>
          <w:szCs w:val="24"/>
        </w:rPr>
        <w:t xml:space="preserve">H. S. Salim and Erlies Septiana Nurbani, </w:t>
      </w:r>
      <w:r>
        <w:rPr>
          <w:i/>
          <w:iCs/>
          <w:szCs w:val="24"/>
        </w:rPr>
        <w:t>Penerapan Teori Hukum Pada Penelitian Disertasi Dan Tesis Buku Kedua</w:t>
      </w:r>
      <w:r>
        <w:rPr>
          <w:szCs w:val="24"/>
        </w:rPr>
        <w:t xml:space="preserve"> (Jakarta: Ra</w:t>
      </w:r>
      <w:r>
        <w:rPr>
          <w:szCs w:val="24"/>
        </w:rPr>
        <w:t>jawali Pers, 2014): 114.</w:t>
      </w:r>
      <w:r>
        <w:fldChar w:fldCharType="end"/>
      </w:r>
    </w:p>
  </w:footnote>
  <w:footnote w:id="28">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{"citationID":"2hZ69jL9","properties":{"formattedCitation":"Jack Donnelly, {\\i{}Universal Human Rights in Theory and Practice} (Cornell University Press, 2013), https://www.jstor.org/stable/10.</w:instrText>
      </w:r>
      <w:r>
        <w:instrText>7591/j.ctt1xx5q2.","plainCitation":"Jack Donnelly, Universal Human Rights in Theory and Practice (Cornell University Press, 2013), https://www.jstor.org/stable/10.7591/j.ctt1xx5q2.","dontUpdate":true,"noteIndex":30},"citationItems":[{"id":415,"uris":["http</w:instrText>
      </w:r>
      <w:r>
        <w:instrText>://zotero.org/users/local/aqQgz9ay/items/6UE9MIQJ"],"uri":["http://zotero.org/users/local/aqQgz9ay/items/6UE9MIQJ"],"itemData":{"id":415,"type":"book","abstract":"In the third edition of his classic work, revised extensively and updated to include recent d</w:instrText>
      </w:r>
      <w:r>
        <w:instrText>evelopments on the international scene, Jack Donnelly explains and defends a richly interdisciplinary account of human rights as universal rights. He shows that any conception of human rights-and the idea of human rights itself-is historically specific and</w:instrText>
      </w:r>
      <w:r>
        <w:instrText xml:space="preserve"> contingent. Since publication of the first edition in 1989, &lt;i&gt;Universal Human Rights in Theory and Practice&lt;/i&gt; has justified Donnelly's claim that \"conceptual clarity, the fruit of sound theory, can facilitate action. At the very least it can help to u</w:instrText>
      </w:r>
      <w:r>
        <w:instrText>nmask the arguments of dictators and their allies.\"","ISBN":"978-0-8014-5095-2","publisher":"Cornell University Press","source":"JSTOR","title":"Universal Human Rights in Theory and Practice","URL":"https://www.jstor.org/stable/10.7591/j.ctt1xx5q2","autho</w:instrText>
      </w:r>
      <w:r>
        <w:instrText xml:space="preserve">r":[{"family":"Donnelly","given":"Jack"}],"accessed":{"date-parts":[["2020",11,18]]},"issued":{"date-parts":[["2013"]]}}}],"schema":"https://github.com/citation-style-language/schema/raw/master/csl-citation.json"} </w:instrText>
      </w:r>
      <w:r>
        <w:fldChar w:fldCharType="separate"/>
      </w:r>
      <w:r>
        <w:rPr>
          <w:szCs w:val="24"/>
        </w:rPr>
        <w:t xml:space="preserve">Jack Donnelly, </w:t>
      </w:r>
      <w:r>
        <w:rPr>
          <w:i/>
          <w:iCs/>
          <w:szCs w:val="24"/>
        </w:rPr>
        <w:t>Universal Human Rights in T</w:t>
      </w:r>
      <w:r>
        <w:rPr>
          <w:i/>
          <w:iCs/>
          <w:szCs w:val="24"/>
        </w:rPr>
        <w:t>heory and Practice</w:t>
      </w:r>
      <w:r>
        <w:rPr>
          <w:szCs w:val="24"/>
        </w:rPr>
        <w:t xml:space="preserve"> (Cornell University Press, 2013): 21.</w:t>
      </w:r>
      <w:r>
        <w:fldChar w:fldCharType="end"/>
      </w:r>
    </w:p>
  </w:footnote>
  <w:footnote w:id="29">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{"citationID":"iTArW0ZD","properties":{"formattedCitation":"Joseph Zajda, ed., {\\i{}Human Rights Education Globally}, Globalisation, Comparative Education and Po</w:instrText>
      </w:r>
      <w:r>
        <w:instrText>licy Research (Springer Netherlands, 2020), doi:10.1007/978-94-024-1913-9.","plainCitation":"Joseph Zajda, ed., Human Rights Education Globally, Globalisation, Comparative Education and Policy Research (Springer Netherlands, 2020), doi:10.1007/978-94-024-1</w:instrText>
      </w:r>
      <w:r>
        <w:instrText>913-9.","noteIndex":31},"citationItems":[{"id":422,"uris":["http://zotero.org/users/local/aqQgz9ay/items/Y4AQMGIT"],"uri":["http://zotero.org/users/local/aqQgz9ay/items/Y4AQMGIT"],"itemData":{"id":422,"type":"book","abstract":"This book presents a comprehe</w:instrText>
      </w:r>
      <w:r>
        <w:instrText>nsive overview of selected research concerning global and comparative trends in dominant discourses on human rights education. Using diverse paradigms, ranging from critical theory to historical-comparative research, the book examines major human rights ed</w:instrText>
      </w:r>
      <w:r>
        <w:instrText>ucation reforms and policy issues in a global culture with a focus on the ambivalent and problematic relationship between human rights education discourses, ideology and the state. Further, it discusses democracy, national identity, and social justice, whi</w:instrText>
      </w:r>
      <w:r>
        <w:instrText>ch are among the most critical and significant factors defining and contextualising the processes surrounding nation-building, identity politics and human rights education globally, and also critiques current human rights education practices and policy ref</w:instrText>
      </w:r>
      <w:r>
        <w:instrText>orms, illustrating the shifts in the relationship between the state and human rights education policy.Written by authors from diverse backgrounds and regions, the book examines current developments in research concerning human rights education, and citizen</w:instrText>
      </w:r>
      <w:r>
        <w:instrText>ship education globally. As such it enables readers to gain a more holistic understanding of the nexus between nation-state, national identity and human rights education both locally and globally. It also provides an easily accessible, practical yet schola</w:instrText>
      </w:r>
      <w:r>
        <w:instrText>rly insights into international concerns in the field of human rights education in the context of global culture.","collection-title":"Globalisation, Comparative Education and Policy Research","ISBN":"978-94-024-1912-2","language":"en","note":"DOI: 10.1007</w:instrText>
      </w:r>
      <w:r>
        <w:instrText>/978-94-024-1913-9","publisher":"Springer Netherlands","source":"www.springer.com","title":"Human Rights Education Globally","URL":"https://www.springer.com/gp/book/9789402419122","editor":[{"family":"Zajda","given":"Joseph"}],"accessed":{"date-parts":[["2</w:instrText>
      </w:r>
      <w:r>
        <w:instrText xml:space="preserve">020",11,18]]},"issued":{"date-parts":[["2020"]]}}}],"schema":"https://github.com/citation-style-language/schema/raw/master/csl-citation.json"} </w:instrText>
      </w:r>
      <w:r>
        <w:fldChar w:fldCharType="separate"/>
      </w:r>
      <w:r>
        <w:rPr>
          <w:szCs w:val="24"/>
        </w:rPr>
        <w:t xml:space="preserve">Joseph Zajda, ed., </w:t>
      </w:r>
      <w:r>
        <w:rPr>
          <w:i/>
          <w:iCs/>
          <w:szCs w:val="24"/>
        </w:rPr>
        <w:t>Human Rights Education Globally</w:t>
      </w:r>
      <w:r>
        <w:rPr>
          <w:szCs w:val="24"/>
        </w:rPr>
        <w:t>, Globalisation, Comparative Education and Policy Research (Spr</w:t>
      </w:r>
      <w:r>
        <w:rPr>
          <w:szCs w:val="24"/>
        </w:rPr>
        <w:t>inger Netherlands, 2020): 3</w:t>
      </w:r>
      <w:r>
        <w:fldChar w:fldCharType="end"/>
      </w:r>
    </w:p>
  </w:footnote>
  <w:footnote w:id="30">
    <w:p w:rsidR="0053678A" w:rsidRDefault="001057F2">
      <w:pPr>
        <w:pStyle w:val="FootnoteText"/>
        <w:jc w:val="both"/>
      </w:pPr>
      <w:r>
        <w:rPr>
          <w:rStyle w:val="FootnoteReference"/>
        </w:rPr>
        <w:footnoteRef/>
      </w:r>
      <w:r>
        <w:t xml:space="preserve"> </w:t>
      </w:r>
      <w:r>
        <w:fldChar w:fldCharType="begin"/>
      </w:r>
      <w:r>
        <w:instrText xml:space="preserve"> ADDIN ZOTERO_ITEM CSL_CITATION {"citationID":"V8TMHyEl","properties":{"formattedCitation":"Niken Savitri and Aep Gunarsa, {\\i{}HAM Perempuan: Kritik Teori Hukum Feminis Terhadap KUHP} (Refika Aditama, 2008).","plainCitati</w:instrText>
      </w:r>
      <w:r>
        <w:instrText>on":"Niken Savitri and Aep Gunarsa, HAM Perempuan: Kritik Teori Hukum Feminis Terhadap KUHP (Refika Aditama, 2008).","noteIndex":32},"citationItems":[{"id":430,"uris":["http://zotero.org/users/local/aqQgz9ay/items/9RF6ZNTD"],"uri":["http://zotero.org/users</w:instrText>
      </w:r>
      <w:r>
        <w:instrText>/local/aqQgz9ay/items/9RF6ZNTD"],"itemData":{"id":430,"type":"book","publisher":"Refika Aditama","source":"Google Scholar","title":"HAM perempuan: Kritik teori hukum feminis terhadap KUHP","title-short":"HAM perempuan","author":[{"family":"Savitri","given"</w:instrText>
      </w:r>
      <w:r>
        <w:instrText xml:space="preserve">:"Niken"},{"family":"Gunarsa","given":"Aep"}],"issued":{"date-parts":[["2008"]]}}}],"schema":"https://github.com/citation-style-language/schema/raw/master/csl-citation.json"} </w:instrText>
      </w:r>
      <w:r>
        <w:fldChar w:fldCharType="separate"/>
      </w:r>
      <w:r>
        <w:rPr>
          <w:szCs w:val="24"/>
        </w:rPr>
        <w:t xml:space="preserve">Niken Savitri and Aep Gunarsa, </w:t>
      </w:r>
      <w:r>
        <w:rPr>
          <w:i/>
          <w:iCs/>
          <w:szCs w:val="24"/>
        </w:rPr>
        <w:t>HAM Perempuan: Kritik Teori Hukum Feminis Terhadap</w:t>
      </w:r>
      <w:r>
        <w:rPr>
          <w:i/>
          <w:iCs/>
          <w:szCs w:val="24"/>
        </w:rPr>
        <w:t xml:space="preserve"> KUHP</w:t>
      </w:r>
      <w:r>
        <w:rPr>
          <w:szCs w:val="24"/>
        </w:rPr>
        <w:t xml:space="preserve"> (Refika Aditama, 2008).</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8A" w:rsidRDefault="00536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8A" w:rsidRDefault="00536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8A" w:rsidRDefault="00536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EA402BE8"/>
    <w:lvl w:ilvl="0" w:tplc="D1FC46B0">
      <w:start w:val="1"/>
      <w:numFmt w:val="bullet"/>
      <w:pStyle w:val="bulletlist"/>
      <w:lvlText w:val=""/>
      <w:lvlJc w:val="left"/>
      <w:pPr>
        <w:tabs>
          <w:tab w:val="left" w:pos="72"/>
        </w:tabs>
        <w:ind w:left="72" w:hanging="360"/>
      </w:pPr>
      <w:rPr>
        <w:rFonts w:ascii="Symbol" w:hAnsi="Symbol" w:hint="default"/>
      </w:rPr>
    </w:lvl>
    <w:lvl w:ilvl="1" w:tplc="04090003">
      <w:start w:val="1"/>
      <w:numFmt w:val="bullet"/>
      <w:lvlText w:val="o"/>
      <w:lvlJc w:val="left"/>
      <w:pPr>
        <w:tabs>
          <w:tab w:val="left" w:pos="864"/>
        </w:tabs>
        <w:ind w:left="864" w:hanging="360"/>
      </w:pPr>
      <w:rPr>
        <w:rFonts w:ascii="Courier New" w:hAnsi="Courier New" w:hint="default"/>
      </w:rPr>
    </w:lvl>
    <w:lvl w:ilvl="2" w:tplc="04090005">
      <w:start w:val="1"/>
      <w:numFmt w:val="bullet"/>
      <w:lvlText w:val=""/>
      <w:lvlJc w:val="left"/>
      <w:pPr>
        <w:tabs>
          <w:tab w:val="left" w:pos="1584"/>
        </w:tabs>
        <w:ind w:left="1584" w:hanging="360"/>
      </w:pPr>
      <w:rPr>
        <w:rFonts w:ascii="Wingdings" w:hAnsi="Wingdings" w:hint="default"/>
      </w:rPr>
    </w:lvl>
    <w:lvl w:ilvl="3" w:tplc="04090001">
      <w:start w:val="1"/>
      <w:numFmt w:val="bullet"/>
      <w:lvlText w:val=""/>
      <w:lvlJc w:val="left"/>
      <w:pPr>
        <w:tabs>
          <w:tab w:val="left" w:pos="2304"/>
        </w:tabs>
        <w:ind w:left="2304" w:hanging="360"/>
      </w:pPr>
      <w:rPr>
        <w:rFonts w:ascii="Symbol" w:hAnsi="Symbol" w:hint="default"/>
      </w:rPr>
    </w:lvl>
    <w:lvl w:ilvl="4" w:tplc="04090003">
      <w:start w:val="1"/>
      <w:numFmt w:val="bullet"/>
      <w:lvlText w:val="o"/>
      <w:lvlJc w:val="left"/>
      <w:pPr>
        <w:tabs>
          <w:tab w:val="left" w:pos="3024"/>
        </w:tabs>
        <w:ind w:left="3024" w:hanging="360"/>
      </w:pPr>
      <w:rPr>
        <w:rFonts w:ascii="Courier New" w:hAnsi="Courier New" w:hint="default"/>
      </w:rPr>
    </w:lvl>
    <w:lvl w:ilvl="5" w:tplc="04090005">
      <w:start w:val="1"/>
      <w:numFmt w:val="bullet"/>
      <w:lvlText w:val=""/>
      <w:lvlJc w:val="left"/>
      <w:pPr>
        <w:tabs>
          <w:tab w:val="left" w:pos="3744"/>
        </w:tabs>
        <w:ind w:left="3744" w:hanging="360"/>
      </w:pPr>
      <w:rPr>
        <w:rFonts w:ascii="Wingdings" w:hAnsi="Wingdings" w:hint="default"/>
      </w:rPr>
    </w:lvl>
    <w:lvl w:ilvl="6" w:tplc="04090001">
      <w:start w:val="1"/>
      <w:numFmt w:val="bullet"/>
      <w:lvlText w:val=""/>
      <w:lvlJc w:val="left"/>
      <w:pPr>
        <w:tabs>
          <w:tab w:val="left" w:pos="4464"/>
        </w:tabs>
        <w:ind w:left="4464" w:hanging="360"/>
      </w:pPr>
      <w:rPr>
        <w:rFonts w:ascii="Symbol" w:hAnsi="Symbol" w:hint="default"/>
      </w:rPr>
    </w:lvl>
    <w:lvl w:ilvl="7" w:tplc="04090003">
      <w:start w:val="1"/>
      <w:numFmt w:val="bullet"/>
      <w:lvlText w:val="o"/>
      <w:lvlJc w:val="left"/>
      <w:pPr>
        <w:tabs>
          <w:tab w:val="left" w:pos="5184"/>
        </w:tabs>
        <w:ind w:left="5184" w:hanging="360"/>
      </w:pPr>
      <w:rPr>
        <w:rFonts w:ascii="Courier New" w:hAnsi="Courier New" w:hint="default"/>
      </w:rPr>
    </w:lvl>
    <w:lvl w:ilvl="8" w:tplc="04090005">
      <w:start w:val="1"/>
      <w:numFmt w:val="bullet"/>
      <w:lvlText w:val=""/>
      <w:lvlJc w:val="left"/>
      <w:pPr>
        <w:tabs>
          <w:tab w:val="left" w:pos="5904"/>
        </w:tabs>
        <w:ind w:left="5904" w:hanging="360"/>
      </w:pPr>
      <w:rPr>
        <w:rFonts w:ascii="Wingdings" w:hAnsi="Wingdings" w:hint="default"/>
      </w:rPr>
    </w:lvl>
  </w:abstractNum>
  <w:abstractNum w:abstractNumId="1">
    <w:nsid w:val="00000001"/>
    <w:multiLevelType w:val="multilevel"/>
    <w:tmpl w:val="F3FA876A"/>
    <w:lvl w:ilvl="0">
      <w:start w:val="1"/>
      <w:numFmt w:val="upperRoman"/>
      <w:pStyle w:val="Heading1"/>
      <w:lvlText w:val="%1."/>
      <w:lvlJc w:val="center"/>
      <w:pPr>
        <w:tabs>
          <w:tab w:val="left" w:pos="576"/>
        </w:tabs>
        <w:ind w:firstLine="216"/>
      </w:pPr>
      <w:rPr>
        <w:rFonts w:ascii="Times New Roman" w:hAnsi="Times New Roman" w:cs="Times New Roman" w:hint="default"/>
        <w:caps w:val="0"/>
        <w:vanish w:val="0"/>
        <w:color w:val="auto"/>
        <w:sz w:val="20"/>
        <w:szCs w:val="20"/>
        <w:u w:val="none"/>
        <w:effect w:val="none"/>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vanish w:val="0"/>
        <w:color w:val="auto"/>
        <w:sz w:val="20"/>
        <w:szCs w:val="20"/>
        <w:u w:val="none"/>
        <w:effect w:val="none"/>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vanish w:val="0"/>
        <w:color w:val="auto"/>
        <w:sz w:val="20"/>
        <w:szCs w:val="20"/>
        <w:u w:val="none"/>
        <w:effect w:val="none"/>
        <w:vertAlign w:val="baseline"/>
        <w14:shadow w14:blurRad="0" w14:dist="0" w14:dir="0" w14:sx="0" w14:sy="0" w14:kx="0" w14:ky="0" w14:algn="none">
          <w14:srgbClr w14:val="000000"/>
        </w14:shadow>
        <w14:textOutline w14:w="0" w14:cap="flat"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8A"/>
    <w:rsid w:val="0000580D"/>
    <w:rsid w:val="001057F2"/>
    <w:rsid w:val="00536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3370E-AD32-4A76-B099-D040B31F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eastAsia="Times New Roman"/>
      <w:smallCaps/>
      <w:noProof/>
    </w:rPr>
  </w:style>
  <w:style w:type="paragraph" w:styleId="Heading2">
    <w:name w:val="heading 2"/>
    <w:basedOn w:val="Normal"/>
    <w:next w:val="Normal"/>
    <w:link w:val="Heading2Char"/>
    <w:uiPriority w:val="9"/>
    <w:qFormat/>
    <w:pPr>
      <w:keepNext/>
      <w:keepLines/>
      <w:numPr>
        <w:ilvl w:val="1"/>
        <w:numId w:val="1"/>
      </w:numPr>
      <w:spacing w:before="120" w:after="60"/>
      <w:jc w:val="left"/>
      <w:outlineLvl w:val="1"/>
    </w:pPr>
    <w:rPr>
      <w:rFonts w:eastAsia="Times New Roman"/>
      <w:i/>
      <w:iCs/>
      <w:noProof/>
    </w:rPr>
  </w:style>
  <w:style w:type="paragraph" w:styleId="Heading3">
    <w:name w:val="heading 3"/>
    <w:basedOn w:val="Normal"/>
    <w:next w:val="Normal"/>
    <w:link w:val="Heading3Char"/>
    <w:uiPriority w:val="9"/>
    <w:qFormat/>
    <w:pPr>
      <w:numPr>
        <w:ilvl w:val="2"/>
        <w:numId w:val="1"/>
      </w:numPr>
      <w:spacing w:line="240" w:lineRule="exact"/>
      <w:jc w:val="both"/>
      <w:outlineLvl w:val="2"/>
    </w:pPr>
    <w:rPr>
      <w:rFonts w:eastAsia="Times New Roman"/>
      <w:i/>
      <w:iCs/>
      <w:noProof/>
    </w:rPr>
  </w:style>
  <w:style w:type="paragraph" w:styleId="Heading4">
    <w:name w:val="heading 4"/>
    <w:basedOn w:val="Normal"/>
    <w:next w:val="Normal"/>
    <w:link w:val="Heading4Char"/>
    <w:uiPriority w:val="9"/>
    <w:qFormat/>
    <w:pPr>
      <w:numPr>
        <w:ilvl w:val="3"/>
        <w:numId w:val="1"/>
      </w:numPr>
      <w:spacing w:before="40" w:after="40"/>
      <w:jc w:val="both"/>
      <w:outlineLvl w:val="3"/>
    </w:pPr>
    <w:rPr>
      <w:rFonts w:eastAsia="Times New Roman"/>
      <w:i/>
      <w:iC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smallCaps/>
      <w:noProof/>
      <w:sz w:val="20"/>
      <w:szCs w:val="20"/>
      <w:lang w:val="en-US"/>
    </w:rPr>
  </w:style>
  <w:style w:type="character" w:customStyle="1" w:styleId="Heading2Char">
    <w:name w:val="Heading 2 Char"/>
    <w:basedOn w:val="DefaultParagraphFont"/>
    <w:link w:val="Heading2"/>
    <w:uiPriority w:val="9"/>
    <w:rPr>
      <w:rFonts w:ascii="Times New Roman" w:hAnsi="Times New Roman" w:cs="Times New Roman"/>
      <w:i/>
      <w:iCs/>
      <w:noProof/>
      <w:sz w:val="20"/>
      <w:szCs w:val="20"/>
      <w:lang w:val="en-US"/>
    </w:rPr>
  </w:style>
  <w:style w:type="character" w:customStyle="1" w:styleId="Heading3Char">
    <w:name w:val="Heading 3 Char"/>
    <w:basedOn w:val="DefaultParagraphFont"/>
    <w:link w:val="Heading3"/>
    <w:uiPriority w:val="9"/>
    <w:rPr>
      <w:rFonts w:ascii="Times New Roman" w:hAnsi="Times New Roman" w:cs="Times New Roman"/>
      <w:i/>
      <w:iCs/>
      <w:noProof/>
      <w:sz w:val="20"/>
      <w:szCs w:val="20"/>
      <w:lang w:val="en-US"/>
    </w:rPr>
  </w:style>
  <w:style w:type="character" w:customStyle="1" w:styleId="Heading4Char">
    <w:name w:val="Heading 4 Char"/>
    <w:basedOn w:val="DefaultParagraphFont"/>
    <w:link w:val="Heading4"/>
    <w:uiPriority w:val="9"/>
    <w:rPr>
      <w:rFonts w:ascii="Times New Roman" w:hAnsi="Times New Roman" w:cs="Times New Roman"/>
      <w:i/>
      <w:iCs/>
      <w:noProof/>
      <w:sz w:val="20"/>
      <w:szCs w:val="20"/>
      <w:lang w:val="en-US"/>
    </w:rPr>
  </w:style>
  <w:style w:type="paragraph" w:styleId="BodyText">
    <w:name w:val="Body Text"/>
    <w:basedOn w:val="Normal"/>
    <w:link w:val="BodyTextChar"/>
    <w:uiPriority w:val="99"/>
    <w:pPr>
      <w:spacing w:line="360" w:lineRule="auto"/>
      <w:ind w:firstLine="289"/>
      <w:jc w:val="both"/>
    </w:pPr>
    <w:rPr>
      <w:spacing w:val="-1"/>
    </w:rPr>
  </w:style>
  <w:style w:type="character" w:customStyle="1" w:styleId="BodyTextChar">
    <w:name w:val="Body Text Char"/>
    <w:basedOn w:val="DefaultParagraphFont"/>
    <w:link w:val="BodyText"/>
    <w:uiPriority w:val="99"/>
    <w:rPr>
      <w:rFonts w:ascii="Times New Roman" w:eastAsia="SimSun" w:hAnsi="Times New Roman" w:cs="Times New Roman"/>
      <w:sz w:val="20"/>
      <w:szCs w:val="20"/>
      <w:lang w:val="en-US"/>
    </w:rPr>
  </w:style>
  <w:style w:type="paragraph" w:customStyle="1" w:styleId="Affiliation">
    <w:name w:val="Affiliation"/>
    <w:pPr>
      <w:spacing w:after="0" w:line="240" w:lineRule="auto"/>
      <w:jc w:val="center"/>
    </w:pPr>
    <w:rPr>
      <w:rFonts w:ascii="Times New Roman" w:eastAsia="SimSun" w:hAnsi="Times New Roman" w:cs="Times New Roman"/>
      <w:sz w:val="20"/>
      <w:szCs w:val="20"/>
      <w:lang w:val="en-US"/>
    </w:rPr>
  </w:style>
  <w:style w:type="paragraph" w:customStyle="1" w:styleId="bulletlist">
    <w:name w:val="bullet list"/>
    <w:basedOn w:val="BodyText"/>
    <w:pPr>
      <w:numPr>
        <w:numId w:val="2"/>
      </w:numPr>
      <w:tabs>
        <w:tab w:val="left" w:pos="648"/>
      </w:tabs>
      <w:ind w:left="357" w:hanging="357"/>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pPr>
      <w:spacing w:before="60" w:after="30" w:line="240" w:lineRule="auto"/>
      <w:jc w:val="right"/>
    </w:pPr>
    <w:rPr>
      <w:rFonts w:ascii="Times New Roman" w:eastAsia="SimSun" w:hAnsi="Times New Roman" w:cs="Times New Roman"/>
      <w:sz w:val="12"/>
      <w:szCs w:val="12"/>
      <w:lang w:val="en-US"/>
    </w:rPr>
  </w:style>
  <w:style w:type="paragraph" w:customStyle="1" w:styleId="Stylepapertitle14pt">
    <w:name w:val="Style paper title + 14 pt"/>
    <w:basedOn w:val="Normal"/>
    <w:pPr>
      <w:spacing w:after="120"/>
    </w:pPr>
    <w:rPr>
      <w:rFonts w:eastAsia="MS Mincho"/>
      <w:noProof/>
      <w:sz w:val="24"/>
      <w:szCs w:val="48"/>
    </w:rPr>
  </w:style>
  <w:style w:type="paragraph" w:customStyle="1" w:styleId="StyleAuthorBold">
    <w:name w:val="Style Author + Bold"/>
    <w:basedOn w:val="Normal"/>
    <w:pPr>
      <w:spacing w:before="240" w:after="40"/>
    </w:pPr>
    <w:rPr>
      <w:b/>
      <w:bCs/>
      <w:noProof/>
      <w:sz w:val="22"/>
      <w:szCs w:val="22"/>
    </w:rPr>
  </w:style>
  <w:style w:type="paragraph" w:customStyle="1" w:styleId="Afiliasi">
    <w:name w:val="Afiliasi"/>
    <w:basedOn w:val="Normal"/>
    <w:qFormat/>
    <w:pPr>
      <w:spacing w:before="40" w:after="40"/>
      <w:contextualSpacing/>
    </w:pPr>
    <w:rPr>
      <w:noProof/>
      <w:lang w:val="id-ID"/>
    </w:rPr>
  </w:style>
  <w:style w:type="paragraph" w:customStyle="1" w:styleId="abstrak">
    <w:name w:val="abstrak"/>
    <w:basedOn w:val="BodyText"/>
    <w:qFormat/>
    <w:pPr>
      <w:spacing w:line="240" w:lineRule="auto"/>
      <w:ind w:left="567" w:right="567" w:firstLine="0"/>
    </w:pPr>
    <w:rPr>
      <w:szCs w:val="24"/>
    </w:rPr>
  </w:style>
  <w:style w:type="paragraph" w:customStyle="1" w:styleId="DaftarPustaka">
    <w:name w:val="Daftar Pustaka"/>
    <w:basedOn w:val="Title"/>
    <w:qFormat/>
    <w:pPr>
      <w:spacing w:before="120" w:after="120"/>
      <w:ind w:left="284" w:hanging="284"/>
      <w:contextualSpacing w:val="0"/>
      <w:jc w:val="both"/>
    </w:pPr>
    <w:rPr>
      <w:rFonts w:ascii="Times New Roman" w:hAnsi="Times New Roman"/>
      <w:noProof/>
      <w:spacing w:val="0"/>
      <w:kern w:val="0"/>
      <w:sz w:val="20"/>
      <w:szCs w:val="24"/>
    </w:r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Times New Roman"/>
      <w:spacing w:val="-10"/>
      <w:kern w:val="28"/>
      <w:sz w:val="56"/>
      <w:szCs w:val="56"/>
      <w:lang w:val="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val="en-US"/>
    </w:rPr>
  </w:style>
  <w:style w:type="paragraph" w:styleId="FootnoteText">
    <w:name w:val="footnote text"/>
    <w:basedOn w:val="Normal"/>
    <w:link w:val="FootnoteTextChar"/>
    <w:uiPriority w:val="99"/>
    <w:qFormat/>
  </w:style>
  <w:style w:type="character" w:customStyle="1" w:styleId="FootnoteTextChar">
    <w:name w:val="Footnote Text Char"/>
    <w:basedOn w:val="DefaultParagraphFont"/>
    <w:link w:val="FootnoteText"/>
    <w:uiPriority w:val="99"/>
    <w:rPr>
      <w:rFonts w:ascii="Times New Roman" w:eastAsia="SimSu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character" w:styleId="Strong">
    <w:name w:val="Strong"/>
    <w:basedOn w:val="DefaultParagraphFont"/>
    <w:uiPriority w:val="22"/>
    <w:qFormat/>
    <w:rPr>
      <w:b/>
      <w:bCs/>
    </w:rPr>
  </w:style>
  <w:style w:type="paragraph" w:styleId="Bibliography">
    <w:name w:val="Bibliography"/>
    <w:basedOn w:val="Normal"/>
    <w:next w:val="Normal"/>
    <w:uiPriority w:val="37"/>
    <w:pPr>
      <w:ind w:left="720" w:hanging="720"/>
    </w:pPr>
  </w:style>
  <w:style w:type="character" w:styleId="EndnoteReference">
    <w:name w:val="endnote reference"/>
    <w:basedOn w:val="DefaultParagraphFont"/>
    <w:uiPriority w:val="99"/>
    <w:rPr>
      <w:vertAlign w:val="superscript"/>
    </w:rPr>
  </w:style>
  <w:style w:type="character" w:styleId="Hyperlink">
    <w:name w:val="Hyperlink"/>
    <w:uiPriority w:val="99"/>
    <w:rPr>
      <w:color w:val="0563C1"/>
      <w:u w:val="single"/>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lang w:val="en-US"/>
    </w:rPr>
  </w:style>
  <w:style w:type="character" w:customStyle="1" w:styleId="UnresolvedMention">
    <w:name w:val="Unresolved Mention"/>
    <w:basedOn w:val="DefaultParagraphFont"/>
    <w:uiPriority w:val="99"/>
    <w:rPr>
      <w:color w:val="605E5C"/>
      <w:shd w:val="clear" w:color="auto" w:fill="E1DFDD"/>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val="0"/>
      <w:bCs w:val="0"/>
      <w:i/>
      <w:iCs/>
      <w:color w:val="000000"/>
      <w:sz w:val="24"/>
      <w:szCs w:val="24"/>
    </w:rPr>
  </w:style>
  <w:style w:type="paragraph" w:styleId="ListParagraph">
    <w:name w:val="List Paragraph"/>
    <w:basedOn w:val="Normal"/>
    <w:link w:val="ListParagraphChar"/>
    <w:uiPriority w:val="34"/>
    <w:qFormat/>
    <w:pPr>
      <w:spacing w:after="200" w:line="276" w:lineRule="auto"/>
      <w:ind w:left="720"/>
      <w:contextualSpacing/>
      <w:jc w:val="left"/>
    </w:pPr>
    <w:rPr>
      <w:rFonts w:ascii="Calibri" w:eastAsia="Calibri" w:hAnsi="Calibri" w:cs="Arial"/>
      <w:sz w:val="22"/>
      <w:szCs w:val="22"/>
      <w:lang w:val="id-ID"/>
    </w:rPr>
  </w:style>
  <w:style w:type="character" w:customStyle="1" w:styleId="alt-edited">
    <w:name w:val="alt-edited"/>
    <w:basedOn w:val="DefaultParagraphFont"/>
  </w:style>
  <w:style w:type="character" w:customStyle="1" w:styleId="shorttext">
    <w:name w:val="short_text"/>
    <w:basedOn w:val="DefaultParagraphFont"/>
  </w:style>
  <w:style w:type="character" w:customStyle="1" w:styleId="ListParagraphChar">
    <w:name w:val="List Paragraph Char"/>
    <w:basedOn w:val="DefaultParagraphFont"/>
    <w:link w:val="ListParagraph"/>
    <w:uiPriority w:val="34"/>
    <w:rPr>
      <w:rFonts w:eastAsia="Calibri" w:cs="Arial"/>
    </w:rPr>
  </w:style>
  <w:style w:type="character" w:customStyle="1" w:styleId="fontstyle11">
    <w:name w:val="fontstyle11"/>
    <w:basedOn w:val="DefaultParagraphFont"/>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thurrahman1128@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6157-1F6F-4146-AF95-DD17BA01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4528</TotalTime>
  <Pages>12</Pages>
  <Words>4227</Words>
  <Characters>24095</Characters>
  <Application>Microsoft Office Word</Application>
  <DocSecurity>0</DocSecurity>
  <Lines>200</Lines>
  <Paragraphs>56</Paragraphs>
  <ScaleCrop>false</ScaleCrop>
  <Company>home</Company>
  <LinksUpToDate>false</LinksUpToDate>
  <CharactersWithSpaces>28266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 hafidzi</dc:creator>
  <cp:lastModifiedBy>ASUS</cp:lastModifiedBy>
  <cp:revision>9</cp:revision>
  <cp:lastPrinted>2018-04-24T06:30:00Z</cp:lastPrinted>
  <dcterms:created xsi:type="dcterms:W3CDTF">2020-11-10T09:14:00Z</dcterms:created>
  <dcterms:modified xsi:type="dcterms:W3CDTF">2022-02-11T09:28:00Z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id="TW7cHgER"/&gt;&lt;style id="http://www.zotero.org/styles/chicago-fullnote-bibliography-16th-edition" locale="en-US" hasBibliography="1" bibliographyStyleHasBeenSet="1"/&gt;&lt;prefs&gt;&lt;pref name="fieldType" va</vt:lpwstr>
  </property>
  <property fmtid="{D5CDD505-2E9C-101B-9397-08002B2CF9AE}" pid="3" name="ZOTERO_PREF_2">
    <vt:lpwstr>lue="Field"/&gt;&lt;pref name="noteType" value="1"/&gt;&lt;/prefs&gt;&lt;/data&gt;</vt:lpwstr>
  </property>
  <property fmtid="{D5CDD505-2E9C-101B-9397-08002B2CF9AE}" pid="4" name="ICV">
    <vt:lpwstr>a64ef11caa2d4f449d7b16b4713c2d7b</vt:lpwstr>
  </property>
</Properties>
</file>